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de-DE"/>
        </w:rPr>
        <w:t xml:space="preserve">Verfahrensdokumentation E-Mail-Archivierung</w:t>
      </w:r>
    </w:p>
    <w:p>
      <w:pPr>
        <w:pStyle w:val="Subtitle"/>
      </w:pPr>
      <w:r>
        <w:rPr>
          <w:lang w:val="de-DE"/>
        </w:rPr>
        <w:t xml:space="preserve">Vorlage für Piler Enterprise Edition 2.2.5+</w:t>
      </w:r>
    </w:p>
    <w:p>
      <w:pPr>
        <w:pStyle w:val="FirstParagraph"/>
      </w:pPr>
      <w:r>
        <w:rPr>
          <w:b/>
          <w:bCs/>
          <w:lang w:val="de-DE"/>
        </w:rPr>
        <w:t xml:space="preserve">So verwenden Sie diese Vorlage</w:t>
      </w:r>
    </w:p>
    <w:p>
      <w:pPr>
        <w:pStyle w:val="BodyText"/>
      </w:pPr>
      <w:r>
        <w:rPr>
          <w:lang w:val="de-DE"/>
        </w:rPr>
        <w:t xml:space="preserve">Eine Vorlage für die Verfahrensdokumentation (Rz. 151 bis 155 der GoBD) der</w:t>
      </w:r>
      <w:r>
        <w:rPr>
          <w:lang w:val="de-DE"/>
        </w:rPr>
        <w:t xml:space="preserve"> </w:t>
      </w:r>
      <w:r>
        <w:rPr>
          <w:lang w:val="de-DE"/>
        </w:rPr>
        <w:t xml:space="preserve">E-Mail-Archivierung mit Piler. Die Teile, die Piler beschreiben, sind</w:t>
      </w:r>
      <w:r>
        <w:rPr>
          <w:lang w:val="de-DE"/>
        </w:rPr>
        <w:t xml:space="preserve"> </w:t>
      </w:r>
      <w:r>
        <w:rPr>
          <w:lang w:val="de-DE"/>
        </w:rPr>
        <w:t xml:space="preserve">vorausgefüllt.</w:t>
      </w:r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Klicken Sie auf ein markiertes Feld und überschreiben Sie es. Der Text im</w:t>
      </w:r>
      <w:r>
        <w:rPr>
          <w:lang w:val="de-DE"/>
        </w:rPr>
        <w:t xml:space="preserve"> </w:t>
      </w:r>
      <w:r>
        <w:rPr>
          <w:lang w:val="de-DE"/>
        </w:rPr>
        <w:t xml:space="preserve">Feld ist ein Vorschlag oder sagt, was einzutragen ist. Trifft etwas nicht</w:t>
      </w:r>
      <w:r>
        <w:rPr>
          <w:lang w:val="de-DE"/>
        </w:rPr>
        <w:t xml:space="preserve"> </w:t>
      </w:r>
      <w:r>
        <w:rPr>
          <w:lang w:val="de-DE"/>
        </w:rPr>
        <w:t xml:space="preserve">zu, löschen Sie es.</w:t>
      </w:r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Hinweise in</w:t>
      </w:r>
      <w:r>
        <w:rPr>
          <w:lang w:val="de-DE"/>
        </w:rPr>
        <w:t xml:space="preserve"> </w:t>
      </w:r>
      <w:r>
        <w:rPr>
          <w:i/>
          <w:iCs/>
          <w:lang w:val="de-DE"/>
        </w:rPr>
        <w:t xml:space="preserve">kursiver Schrift</w:t>
      </w:r>
      <w:r>
        <w:rPr>
          <w:lang w:val="de-DE"/>
        </w:rPr>
        <w:t xml:space="preserve"> </w:t>
      </w:r>
      <w:r>
        <w:rPr>
          <w:lang w:val="de-DE"/>
        </w:rPr>
        <w:t xml:space="preserve">erläutern die Vorlage und können entfernt</w:t>
      </w:r>
      <w:r>
        <w:rPr>
          <w:lang w:val="de-DE"/>
        </w:rPr>
        <w:t xml:space="preserve"> </w:t>
      </w:r>
      <w:r>
        <w:rPr>
          <w:lang w:val="de-DE"/>
        </w:rPr>
        <w:t xml:space="preserve">werden. Passen Sie den Text an Ihren Betrieb an und streichen Sie, was</w:t>
      </w:r>
      <w:r>
        <w:rPr>
          <w:lang w:val="de-DE"/>
        </w:rPr>
        <w:t xml:space="preserve"> </w:t>
      </w:r>
      <w:r>
        <w:rPr>
          <w:lang w:val="de-DE"/>
        </w:rPr>
        <w:t xml:space="preserve">nicht zutrifft.</w:t>
      </w:r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Der Konfigurationsbericht in der Administration (Compliance &gt;</w:t>
      </w:r>
      <w:r>
        <w:rPr>
          <w:lang w:val="de-DE"/>
        </w:rPr>
        <w:t xml:space="preserve"> </w:t>
      </w:r>
      <w:r>
        <w:rPr>
          <w:lang w:val="de-DE"/>
        </w:rPr>
        <w:t xml:space="preserve">Configuration report) liefert die Angaben für Abschnitt 2.1 und die</w:t>
      </w:r>
      <w:r>
        <w:rPr>
          <w:lang w:val="de-DE"/>
        </w:rPr>
        <w:t xml:space="preserve"> </w:t>
      </w:r>
      <w:r>
        <w:rPr>
          <w:lang w:val="de-DE"/>
        </w:rPr>
        <w:t xml:space="preserve">Anhänge A und B.</w:t>
      </w:r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Aktualisieren Sie zum Schluss das Inhaltsverzeichnis (Word: Rechtsklick,</w:t>
      </w:r>
      <w:r>
        <w:rPr>
          <w:lang w:val="de-DE"/>
        </w:rPr>
        <w:t xml:space="preserve"> </w:t>
      </w:r>
      <w:r>
        <w:rPr>
          <w:lang w:val="de-DE"/>
        </w:rPr>
        <w:t xml:space="preserve">Felder aktualisieren; LibreOffice: Extras, Verzeichnisse aktualisieren)</w:t>
      </w:r>
      <w:r>
        <w:rPr>
          <w:lang w:val="de-DE"/>
        </w:rPr>
        <w:t xml:space="preserve"> </w:t>
      </w:r>
      <w:r>
        <w:rPr>
          <w:lang w:val="de-DE"/>
        </w:rPr>
        <w:t xml:space="preserve">und löschen Sie diesen Abschnitt.</w:t>
      </w:r>
    </w:p>
    <w:p>
      <w:pPr>
        <w:pStyle w:val="FirstParagraph"/>
      </w:pPr>
      <w:r>
        <w:rPr>
          <w:lang w:val="de-DE"/>
        </w:rPr>
        <w:t xml:space="preserve">Die Verfahrensdokumentation muss dem tatsächlichen Betrieb entsprechen</w:t>
      </w:r>
      <w:r>
        <w:rPr>
          <w:lang w:val="de-DE"/>
        </w:rPr>
        <w:t xml:space="preserve"> </w:t>
      </w:r>
      <w:r>
        <w:rPr>
          <w:lang w:val="de-DE"/>
        </w:rPr>
        <w:t xml:space="preserve">(Rz. 154): Eine unveränderte Vorlage genügt nicht. Die Zuordnung der</w:t>
      </w:r>
      <w:r>
        <w:rPr>
          <w:lang w:val="de-DE"/>
        </w:rPr>
        <w:t xml:space="preserve"> </w:t>
      </w:r>
      <w:r>
        <w:rPr>
          <w:lang w:val="de-DE"/>
        </w:rPr>
        <w:t xml:space="preserve">Anforderungen der GoBD zu Piler steht auf der Seite</w:t>
      </w:r>
      <w:r>
        <w:rPr>
          <w:lang w:val="de-DE"/>
        </w:rPr>
        <w:t xml:space="preserve"> </w:t>
      </w:r>
      <w:hyperlink r:id="rId9">
        <w:r>
          <w:rPr>
            <w:rStyle w:val="Hyperlink"/>
            <w:lang w:val="de-DE"/>
          </w:rPr>
          <w:t xml:space="preserve">GoBD-konforme E-Mail-Archivierung</w:t>
        </w:r>
      </w:hyperlink>
      <w:r>
        <w:rPr>
          <w:lang w:val="de-DE"/>
        </w:rPr>
        <w:t xml:space="preserve">. Diese Vorlage ist keine</w:t>
      </w:r>
      <w:r>
        <w:rPr>
          <w:lang w:val="de-DE"/>
        </w:rPr>
        <w:t xml:space="preserve"> </w:t>
      </w:r>
      <w:r>
        <w:rPr>
          <w:lang w:val="de-DE"/>
        </w:rPr>
        <w:t xml:space="preserve">Rechtsberatung: Stimmen Sie die Dokumentation mit Ihrem Steuerberater ab.</w:t>
      </w:r>
    </w:p>
    <w:p>
      <w:pPr>
        <w:pStyle w:val="Heading1"/>
      </w:pPr>
      <w:bookmarkStart w:id="10" w:name="_deckblatt"/>
      <w:r>
        <w:rPr>
          <w:lang w:val="de-DE"/>
        </w:rPr>
        <w:t xml:space="preserve">Deckblatt</w:t>
      </w:r>
      <w:bookmarkEnd w:id="10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4132"/>
        <w:gridCol w:w="3787"/>
      </w:tblGrid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Unternehmen</w:t>
            </w:r>
          </w:p>
        </w:tc>
        <w:tc>
          <w:tcPr/>
          <w:p>
            <w:pPr>
              <w:pStyle w:val="Compact"/>
            </w:pPr>
            <w:sdt>
              <w:sdtPr>
                <w:id w:val="100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[Name, Anschrift]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DV-System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E-Mail-Archiv Piler Enterprise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Version dieser Dokumentation</w:t>
            </w:r>
          </w:p>
        </w:tc>
        <w:tc>
          <w:tcPr/>
          <w:p>
            <w:pPr>
              <w:pStyle w:val="Compact"/>
            </w:pPr>
            <w:sdt>
              <w:sdtPr>
                <w:id w:val="100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[1.0]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Gültig ab</w:t>
            </w:r>
          </w:p>
        </w:tc>
        <w:tc>
          <w:tcPr/>
          <w:p>
            <w:pPr>
              <w:pStyle w:val="Compact"/>
            </w:pPr>
            <w:sdt>
              <w:sdtPr>
                <w:id w:val="100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[TT.MM.JJJJ]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Verantwortlich für die Dokumentation</w:t>
            </w:r>
          </w:p>
        </w:tc>
        <w:tc>
          <w:tcPr/>
          <w:p>
            <w:pPr>
              <w:pStyle w:val="Compact"/>
            </w:pPr>
            <w:sdt>
              <w:sdtPr>
                <w:id w:val="100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[Name, Funktion]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Freigegeben durch</w:t>
            </w:r>
          </w:p>
        </w:tc>
        <w:tc>
          <w:tcPr/>
          <w:p>
            <w:pPr>
              <w:pStyle w:val="Compact"/>
            </w:pPr>
            <w:sdt>
              <w:sdtPr>
                <w:id w:val="100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[Name, Funktion, Datum]</w:t>
                </w:r>
              </w:sdtContent>
            </w:sdt>
          </w:p>
        </w:tc>
      </w:tr>
    </w:tbl>
    <w:p>
      <w:pPr>
        <w:pStyle w:val="Heading2"/>
      </w:pPr>
      <w:bookmarkStart w:id="11" w:name="_änderungshistorie"/>
      <w:r>
        <w:rPr>
          <w:lang w:val="de-DE"/>
        </w:rPr>
        <w:t xml:space="preserve">Änderungshistorie</w:t>
      </w:r>
      <w:bookmarkEnd w:id="11"/>
    </w:p>
    <w:p>
      <w:pPr>
        <w:pStyle w:val="FirstParagraph"/>
      </w:pPr>
      <w:r>
        <w:rPr>
          <w:i/>
          <w:iCs/>
          <w:lang w:val="de-DE"/>
        </w:rPr>
        <w:t xml:space="preserve">Die Änderungen der Verfahrensdokumentation müssen historisch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nachvollziehbar sein (Rz. 154). Tragen Sie jede Änderung ein, auch jedes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Update von Piler und jede Änderung der Einstellungen außerhalb von Piler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(z. B. in</w:t>
      </w:r>
      <w:r>
        <w:rPr>
          <w:i/>
          <w:iCs/>
          <w:lang w:val="de-DE"/>
        </w:rPr>
        <w:t xml:space="preserve"> </w:t>
      </w:r>
      <w:r>
        <w:rPr>
          <w:rStyle w:val="VerbatimChar"/>
          <w:i/>
          <w:iCs/>
          <w:lang w:val="de-DE"/>
        </w:rPr>
        <w:t xml:space="preserve">.env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oder an der Journalregel des Mailservers): Diese stehen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nicht im Audit-Log.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04"/>
        <w:gridCol w:w="2205"/>
        <w:gridCol w:w="2005"/>
        <w:gridCol w:w="210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Datum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Änderung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Geändert von</w:t>
            </w:r>
          </w:p>
        </w:tc>
      </w:tr>
      <w:tr>
        <w:tc>
          <w:tcPr/>
          <w:p>
            <w:pPr>
              <w:pStyle w:val="Compact"/>
            </w:pPr>
            <w:sdt>
              <w:sdtPr>
                <w:id w:val="100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[1.0]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0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[TT.MM.JJJJ]</w:t>
                </w:r>
              </w:sdtContent>
            </w:sdt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Erstfassung</w:t>
            </w:r>
          </w:p>
        </w:tc>
        <w:tc>
          <w:tcPr/>
          <w:p>
            <w:pPr>
              <w:pStyle w:val="Compact"/>
            </w:pPr>
            <w:sdt>
              <w:sdtPr>
                <w:id w:val="100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>Inhalt</w:t>
          </w:r>
        </w:p>
        <w:p>
          <w:pPr>
            <w:pStyle w:val="TOC1"/>
          </w:pPr>
          <w:r>
            <w:fldChar w:fldCharType="begin"/>
          </w:r>
          <w:r>
            <w:instrText xml:space="preserve">TOC \o "1-2" \h \z \u</w:instrText>
          </w:r>
          <w:r>
            <w:fldChar w:fldCharType="separate"/>
          </w:r>
          <w:hyperlink w:anchor="_deckblatt" w:history="1">
            <w:r>
              <w:t xml:space="preserve">Deckblatt</w:t>
            </w:r>
          </w:hyperlink>
        </w:p>
        <w:p>
          <w:pPr>
            <w:pStyle w:val="TOC2"/>
          </w:pPr>
          <w:hyperlink w:anchor="_änderungshistorie" w:history="1">
            <w:r>
              <w:t xml:space="preserve">Änderungshistorie</w:t>
            </w:r>
          </w:hyperlink>
        </w:p>
        <w:p>
          <w:pPr>
            <w:pStyle w:val="TOC1"/>
          </w:pPr>
          <w:hyperlink w:anchor="_dbf1a1809ca0ec44b1e83823f6554bd643b04d0" w:history="1">
            <w:r>
              <w:t xml:space="preserve">1. Allgemeine Beschreibung</w:t>
            </w:r>
          </w:hyperlink>
        </w:p>
        <w:p>
          <w:pPr>
            <w:pStyle w:val="TOC2"/>
          </w:pPr>
          <w:hyperlink w:anchor="_b7cf73c1d048c1f8cbb28a931153f3bbc7835a1" w:history="1">
            <w:r>
              <w:t xml:space="preserve">1.1 Zweck des Systems</w:t>
            </w:r>
          </w:hyperlink>
        </w:p>
        <w:p>
          <w:pPr>
            <w:pStyle w:val="TOC2"/>
          </w:pPr>
          <w:hyperlink w:anchor="_geltungsbereich" w:history="1">
            <w:r>
              <w:t xml:space="preserve">1.2 Geltungsbereich</w:t>
            </w:r>
          </w:hyperlink>
        </w:p>
        <w:p>
          <w:pPr>
            <w:pStyle w:val="TOC2"/>
          </w:pPr>
          <w:hyperlink w:anchor="_aufbewahrungsfristen" w:history="1">
            <w:r>
              <w:t xml:space="preserve">1.3 Aufbewahrungsfristen</w:t>
            </w:r>
          </w:hyperlink>
        </w:p>
        <w:p>
          <w:pPr>
            <w:pStyle w:val="TOC2"/>
          </w:pPr>
          <w:hyperlink w:anchor="_verantwortlichkeiten" w:history="1">
            <w:r>
              <w:t xml:space="preserve">1.4 Verantwortlichkeiten</w:t>
            </w:r>
          </w:hyperlink>
        </w:p>
        <w:p>
          <w:pPr>
            <w:pStyle w:val="TOC1"/>
          </w:pPr>
          <w:hyperlink w:anchor="_anwenderdokumentation" w:history="1">
            <w:r>
              <w:t xml:space="preserve">2. Anwenderdokumentation</w:t>
            </w:r>
          </w:hyperlink>
        </w:p>
        <w:p>
          <w:pPr>
            <w:pStyle w:val="TOC2"/>
          </w:pPr>
          <w:hyperlink w:anchor="_ca2e442913bd57292c4c456a2daf6159229b0a3" w:history="1">
            <w:r>
              <w:t xml:space="preserve">2.1 Rollen und Berechtigungen</w:t>
            </w:r>
          </w:hyperlink>
        </w:p>
        <w:p>
          <w:pPr>
            <w:pStyle w:val="TOC2"/>
          </w:pPr>
          <w:hyperlink w:anchor="_d9457540fcd785e9f6335045e122014c6f997f2" w:history="1">
            <w:r>
              <w:t xml:space="preserve">2.2 Suchen, Ansehen, Exportieren</w:t>
            </w:r>
          </w:hyperlink>
        </w:p>
        <w:p>
          <w:pPr>
            <w:pStyle w:val="TOC2"/>
          </w:pPr>
          <w:hyperlink w:anchor="_löschung" w:history="1">
            <w:r>
              <w:t xml:space="preserve">2.3 Löschung</w:t>
            </w:r>
          </w:hyperlink>
        </w:p>
        <w:p>
          <w:pPr>
            <w:pStyle w:val="TOC2"/>
          </w:pPr>
          <w:hyperlink w:anchor="_0027ed420bb0f96fa44f61a000bd1ef24631af8" w:history="1">
            <w:r>
              <w:t xml:space="preserve">2.4 Datenzugriff bei der Außenprüfung</w:t>
            </w:r>
          </w:hyperlink>
        </w:p>
        <w:p>
          <w:pPr>
            <w:pStyle w:val="TOC1"/>
          </w:pPr>
          <w:hyperlink w:anchor="_38b6c98c7c100a1508b5713a692df5a49157bea" w:history="1">
            <w:r>
              <w:t xml:space="preserve">3. Technische Systemdokumentation</w:t>
            </w:r>
          </w:hyperlink>
        </w:p>
        <w:p>
          <w:pPr>
            <w:pStyle w:val="TOC2"/>
          </w:pPr>
          <w:hyperlink w:anchor="_2cfbf7adaf44ee4cb182290d895bfcd5c0d5950" w:history="1">
            <w:r>
              <w:t xml:space="preserve">3.1 Eingesetzte Software</w:t>
            </w:r>
          </w:hyperlink>
        </w:p>
        <w:p>
          <w:pPr>
            <w:pStyle w:val="TOC2"/>
          </w:pPr>
          <w:hyperlink w:anchor="_erfassung" w:history="1">
            <w:r>
              <w:t xml:space="preserve">3.2 Erfassung</w:t>
            </w:r>
          </w:hyperlink>
        </w:p>
        <w:p>
          <w:pPr>
            <w:pStyle w:val="TOC2"/>
          </w:pPr>
          <w:hyperlink w:anchor="_d1512af7e5fc224562e3263990b48b7095df06a" w:history="1">
            <w:r>
              <w:t xml:space="preserve">3.3 Verarbeitung und Speicherung</w:t>
            </w:r>
          </w:hyperlink>
        </w:p>
        <w:p>
          <w:pPr>
            <w:pStyle w:val="TOC2"/>
          </w:pPr>
          <w:hyperlink w:anchor="_unveränderbarkeit" w:history="1">
            <w:r>
              <w:t xml:space="preserve">3.4 Unveränderbarkeit</w:t>
            </w:r>
          </w:hyperlink>
        </w:p>
        <w:p>
          <w:pPr>
            <w:pStyle w:val="TOC2"/>
          </w:pPr>
          <w:hyperlink w:anchor="_ed834e37c4d116efc7c7b8d574917607002e3a9" w:history="1">
            <w:r>
              <w:t xml:space="preserve">3.5 Aufbewahrung und Löschung</w:t>
            </w:r>
          </w:hyperlink>
        </w:p>
        <w:p>
          <w:pPr>
            <w:pStyle w:val="TOC2"/>
          </w:pPr>
          <w:hyperlink w:anchor="_protokollierung" w:history="1">
            <w:r>
              <w:t xml:space="preserve">3.6 Protokollierung</w:t>
            </w:r>
          </w:hyperlink>
        </w:p>
        <w:p>
          <w:pPr>
            <w:pStyle w:val="TOC2"/>
          </w:pPr>
          <w:hyperlink w:anchor="_260983855c607f8216bb2626ec68d50a6e35188" w:history="1">
            <w:r>
              <w:t xml:space="preserve">3.7 Verschlüsselung und Schlüssel</w:t>
            </w:r>
          </w:hyperlink>
        </w:p>
        <w:p>
          <w:pPr>
            <w:pStyle w:val="TOC2"/>
          </w:pPr>
          <w:hyperlink w:anchor="_e551d8ff73923d8d7583765eb9c69f5ae494d02" w:history="1">
            <w:r>
              <w:t xml:space="preserve">3.8 E-Rechnungen</w:t>
            </w:r>
          </w:hyperlink>
        </w:p>
        <w:p>
          <w:pPr>
            <w:pStyle w:val="TOC2"/>
          </w:pPr>
          <w:hyperlink w:anchor="_c3058cd1ca7a05db8fbf099fae38e88ab0beab7" w:history="1">
            <w:r>
              <w:t xml:space="preserve">3.9 Schnittstellen und Datenübernahme</w:t>
            </w:r>
          </w:hyperlink>
        </w:p>
        <w:p>
          <w:pPr>
            <w:pStyle w:val="TOC1"/>
          </w:pPr>
          <w:hyperlink w:anchor="_betriebsdokumentation" w:history="1">
            <w:r>
              <w:t xml:space="preserve">4. Betriebsdokumentation</w:t>
            </w:r>
          </w:hyperlink>
        </w:p>
        <w:p>
          <w:pPr>
            <w:pStyle w:val="TOC2"/>
          </w:pPr>
          <w:hyperlink w:anchor="_datensicherung" w:history="1">
            <w:r>
              <w:t xml:space="preserve">4.1 Datensicherung</w:t>
            </w:r>
          </w:hyperlink>
        </w:p>
        <w:p>
          <w:pPr>
            <w:pStyle w:val="TOC2"/>
          </w:pPr>
          <w:hyperlink w:anchor="_schlüsselverwaltung" w:history="1">
            <w:r>
              <w:t xml:space="preserve">4.2 Schlüsselverwaltung</w:t>
            </w:r>
          </w:hyperlink>
        </w:p>
        <w:p>
          <w:pPr>
            <w:pStyle w:val="TOC2"/>
          </w:pPr>
          <w:hyperlink w:anchor="_updates" w:history="1">
            <w:r>
              <w:t xml:space="preserve">4.3 Updates</w:t>
            </w:r>
          </w:hyperlink>
        </w:p>
        <w:p>
          <w:pPr>
            <w:pStyle w:val="TOC2"/>
          </w:pPr>
          <w:hyperlink w:anchor="_ae3c7c4aec2a4f25f9a3305cbb749833b8eb64e" w:history="1">
            <w:r>
              <w:t xml:space="preserve">4.4 Überwachung und Störungen</w:t>
            </w:r>
          </w:hyperlink>
        </w:p>
        <w:p>
          <w:pPr>
            <w:pStyle w:val="TOC2"/>
          </w:pPr>
          <w:hyperlink w:anchor="_150a25ea86f0bd04fd2bee8e8e187c7fe200a7f" w:history="1">
            <w:r>
              <w:t xml:space="preserve">4.5 Zugriff auf die Server</w:t>
            </w:r>
          </w:hyperlink>
        </w:p>
        <w:p>
          <w:pPr>
            <w:pStyle w:val="TOC1"/>
          </w:pPr>
          <w:hyperlink w:anchor="_92874a4dd4fe9ad97411d11246afd2f610d33e9" w:history="1">
            <w:r>
              <w:t xml:space="preserve">5. Internes Kontrollsystem</w:t>
            </w:r>
          </w:hyperlink>
        </w:p>
        <w:p>
          <w:pPr>
            <w:pStyle w:val="TOC2"/>
          </w:pPr>
          <w:hyperlink w:anchor="_berechtigungen" w:history="1">
            <w:r>
              <w:t xml:space="preserve">5.1 Berechtigungen</w:t>
            </w:r>
          </w:hyperlink>
        </w:p>
        <w:p>
          <w:pPr>
            <w:pStyle w:val="TOC2"/>
          </w:pPr>
          <w:hyperlink w:anchor="_vollständigkeit" w:history="1">
            <w:r>
              <w:t xml:space="preserve">5.2 Vollständigkeit</w:t>
            </w:r>
          </w:hyperlink>
        </w:p>
        <w:p>
          <w:pPr>
            <w:pStyle w:val="TOC2"/>
          </w:pPr>
          <w:hyperlink w:anchor="_de30c62fadc855e50a1f0d5f675504c0230ccf1" w:history="1">
            <w:r>
              <w:t xml:space="preserve">5.3 Protokollierung und Löschungen</w:t>
            </w:r>
          </w:hyperlink>
        </w:p>
        <w:p>
          <w:pPr>
            <w:pStyle w:val="TOC2"/>
          </w:pPr>
          <w:hyperlink w:anchor="_c94fe2d2840fa9280e54a2a3e9fa24e2e46b968" w:history="1">
            <w:r>
              <w:t xml:space="preserve">5.4 Datensicherung</w:t>
            </w:r>
          </w:hyperlink>
        </w:p>
        <w:p>
          <w:pPr>
            <w:pStyle w:val="TOC1"/>
          </w:pPr>
          <w:hyperlink w:anchor="_75834c246ab9d14b6c3c156dc47443dc30c8604" w:history="1">
            <w:r>
              <w:t xml:space="preserve">Anhang A: Einstellungen</w:t>
            </w:r>
          </w:hyperlink>
        </w:p>
        <w:p>
          <w:pPr>
            <w:pStyle w:val="TOC1"/>
          </w:pPr>
          <w:hyperlink w:anchor="_694c8ec87b6828bac67e00b708d5a55ca5c4f5f" w:history="1">
            <w:r>
              <w:t xml:space="preserve">Anhang B: Aufbewahrungsregeln</w:t>
            </w:r>
          </w:hyperlink>
        </w:p>
        <w:p>
          <w:pPr>
            <w:pStyle w:val="TOC1"/>
          </w:pPr>
          <w:hyperlink w:anchor="_662d8d39ee9d8d37224aaaf8eeab70e6d025bd3" w:history="1">
            <w:r>
              <w:t xml:space="preserve">Anhang C: Mitgeltende Unterlagen</w:t>
            </w:r>
          </w:hyperlink>
          <w:r>
            <w:fldChar w:fldCharType="end"/>
          </w:r>
        </w:p>
      </w:sdtContent>
    </w:sdt>
    <w:p>
      <w:pPr>
        <w:pStyle w:val="Heading1"/>
      </w:pPr>
      <w:bookmarkStart w:id="12" w:name="_dbf1a1809ca0ec44b1e83823f6554bd643b04d0"/>
      <w:r>
        <w:rPr>
          <w:lang w:val="de-DE"/>
        </w:rPr>
        <w:t xml:space="preserve">1. Allgemeine Beschreibung</w:t>
      </w:r>
      <w:bookmarkEnd w:id="12"/>
    </w:p>
    <w:p>
      <w:pPr>
        <w:pStyle w:val="Heading2"/>
      </w:pPr>
      <w:bookmarkStart w:id="13" w:name="_b7cf73c1d048c1f8cbb28a931153f3bbc7835a1"/>
      <w:r>
        <w:rPr>
          <w:lang w:val="de-DE"/>
        </w:rPr>
        <w:t xml:space="preserve">1.1 Zweck des Systems</w:t>
      </w:r>
      <w:bookmarkEnd w:id="13"/>
    </w:p>
    <w:p>
      <w:pPr>
        <w:pStyle w:val="FirstParagraph"/>
      </w:pPr>
      <w:r>
        <w:rPr>
          <w:lang w:val="de-DE"/>
        </w:rPr>
        <w:t xml:space="preserve">Das Unternehmen archiviert mit Piler Enterprise die ein- und ausgehenden</w:t>
      </w:r>
      <w:r>
        <w:rPr>
          <w:lang w:val="de-DE"/>
        </w:rPr>
        <w:t xml:space="preserve"> </w:t>
      </w:r>
      <w:r>
        <w:rPr>
          <w:lang w:val="de-DE"/>
        </w:rPr>
        <w:t xml:space="preserve">E-Mails</w:t>
      </w:r>
      <w:r>
        <w:rPr>
          <w:lang w:val="de-DE"/>
        </w:rPr>
        <w:t xml:space="preserve"> </w:t>
      </w:r>
      <w:sdt>
        <w:sdtPr>
          <w:id w:val="1009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[aller Postfächer der Domains [beispiel.de], […]]</w:t>
          </w:r>
        </w:sdtContent>
      </w:sdt>
      <w:r>
        <w:rPr>
          <w:lang w:val="de-DE"/>
        </w:rPr>
        <w:t xml:space="preserve">, damit</w:t>
      </w:r>
      <w:r>
        <w:rPr>
          <w:lang w:val="de-DE"/>
        </w:rPr>
        <w:t xml:space="preserve"> </w:t>
      </w:r>
      <w:r>
        <w:rPr>
          <w:lang w:val="de-DE"/>
        </w:rPr>
        <w:t xml:space="preserve">aufbewahrungspflichtige E-Mails (Handels- und Geschäftsbriefe,</w:t>
      </w:r>
      <w:r>
        <w:rPr>
          <w:lang w:val="de-DE"/>
        </w:rPr>
        <w:t xml:space="preserve"> </w:t>
      </w:r>
      <w:r>
        <w:rPr>
          <w:lang w:val="de-DE"/>
        </w:rPr>
        <w:t xml:space="preserve">Buchungsbelege, Rz. 121) vollständig, unveränderbar und für die Dauer der</w:t>
      </w:r>
      <w:r>
        <w:rPr>
          <w:lang w:val="de-DE"/>
        </w:rPr>
        <w:t xml:space="preserve"> </w:t>
      </w:r>
      <w:r>
        <w:rPr>
          <w:lang w:val="de-DE"/>
        </w:rPr>
        <w:t xml:space="preserve">Aufbewahrungsfristen auffindbar aufbewahrt werden (§ 147 AO, § 257 HGB,</w:t>
      </w:r>
      <w:r>
        <w:rPr>
          <w:lang w:val="de-DE"/>
        </w:rPr>
        <w:t xml:space="preserve"> </w:t>
      </w:r>
      <w:r>
        <w:rPr>
          <w:lang w:val="de-DE"/>
        </w:rPr>
        <w:t xml:space="preserve">§ 14b UStG).</w:t>
      </w:r>
    </w:p>
    <w:p>
      <w:pPr>
        <w:pStyle w:val="BodyText"/>
      </w:pPr>
      <w:r>
        <w:rPr>
          <w:lang w:val="de-DE"/>
        </w:rPr>
        <w:t xml:space="preserve">Das Archiv ergänzt den Mailserver</w:t>
      </w:r>
      <w:r>
        <w:rPr>
          <w:lang w:val="de-DE"/>
        </w:rPr>
        <w:t xml:space="preserve"> </w:t>
      </w:r>
      <w:sdt>
        <w:sdtPr>
          <w:id w:val="1010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[z. B. Microsoft Exchange Online, Exchange Server, Postfix]</w:t>
          </w:r>
        </w:sdtContent>
      </w:sdt>
      <w:r>
        <w:rPr>
          <w:lang w:val="de-DE"/>
        </w:rPr>
        <w:t xml:space="preserve">: Die E-Mails bleiben im Archiv erhalten, auch</w:t>
      </w:r>
      <w:r>
        <w:rPr>
          <w:lang w:val="de-DE"/>
        </w:rPr>
        <w:t xml:space="preserve"> </w:t>
      </w:r>
      <w:r>
        <w:rPr>
          <w:lang w:val="de-DE"/>
        </w:rPr>
        <w:t xml:space="preserve">wenn Benutzer sie in ihrem Postfach löschen.</w:t>
      </w:r>
    </w:p>
    <w:p>
      <w:pPr>
        <w:pStyle w:val="Heading2"/>
      </w:pPr>
      <w:bookmarkStart w:id="14" w:name="_geltungsbereich"/>
      <w:r>
        <w:rPr>
          <w:lang w:val="de-DE"/>
        </w:rPr>
        <w:t xml:space="preserve">1.2 Geltungsbereich</w:t>
      </w:r>
      <w:bookmarkEnd w:id="14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578"/>
        <w:gridCol w:w="5341"/>
      </w:tblGrid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Archivierte Domains</w:t>
            </w:r>
          </w:p>
        </w:tc>
        <w:tc>
          <w:tcPr/>
          <w:p>
            <w:pPr>
              <w:pStyle w:val="Compact"/>
            </w:pPr>
            <w:sdt>
              <w:sdtPr>
                <w:id w:val="101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[beispiel.de,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Archivierte Postfächer</w:t>
            </w:r>
          </w:p>
        </w:tc>
        <w:tc>
          <w:tcPr/>
          <w:p>
            <w:pPr>
              <w:pStyle w:val="Compact"/>
            </w:pPr>
            <w:sdt>
              <w:sdtPr>
                <w:id w:val="101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[alle Postfächer der genannten Domains / Ausnahmen: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Archiviert seit</w:t>
            </w:r>
          </w:p>
        </w:tc>
        <w:tc>
          <w:tcPr/>
          <w:p>
            <w:pPr>
              <w:pStyle w:val="Compact"/>
            </w:pPr>
            <w:sdt>
              <w:sdtPr>
                <w:id w:val="101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[TT.MM.JJJJ]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Ältere E-Mails</w:t>
            </w:r>
          </w:p>
        </w:tc>
        <w:tc>
          <w:tcPr/>
          <w:p>
            <w:pPr>
              <w:pStyle w:val="Compact"/>
            </w:pPr>
            <w:sdt>
              <w:sdtPr>
                <w:id w:val="101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[importiert aus … am … / nicht importiert]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Nicht archiviert</w:t>
            </w:r>
          </w:p>
        </w:tc>
        <w:tc>
          <w:tcPr/>
          <w:p>
            <w:pPr>
              <w:pStyle w:val="Compact"/>
            </w:pPr>
            <w:sdt>
              <w:sdtPr>
                <w:id w:val="101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[z. B. private Postfächer, sofern die private Nutzung erlaubt ist; sonst: keine Ausnahmen]</w:t>
                </w:r>
              </w:sdtContent>
            </w:sdt>
          </w:p>
        </w:tc>
      </w:tr>
    </w:tbl>
    <w:p>
      <w:pPr>
        <w:pStyle w:val="FirstParagraph"/>
      </w:pPr>
      <w:r>
        <w:rPr>
          <w:i/>
          <w:iCs/>
          <w:lang w:val="de-DE"/>
        </w:rPr>
        <w:t xml:space="preserve">Es kommt auf Inhalt und Funktion einer E-Mail an (Rz. 121). Die meisten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Unternehmen archivieren alle E-Mails ihrer Domains, weil sich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aufbewahrungspflichtige E-Mails nicht zuverlässig von Hand trennen lassen.</w:t>
      </w:r>
    </w:p>
    <w:p>
      <w:pPr>
        <w:pStyle w:val="Heading2"/>
      </w:pPr>
      <w:bookmarkStart w:id="15" w:name="_aufbewahrungsfristen"/>
      <w:r>
        <w:rPr>
          <w:lang w:val="de-DE"/>
        </w:rPr>
        <w:t xml:space="preserve">1.3 Aufbewahrungsfristen</w:t>
      </w:r>
      <w:bookmarkEnd w:id="15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910"/>
        <w:gridCol w:w="2166"/>
        <w:gridCol w:w="2843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Unterlagen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Frist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Einstellung in Piler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Buchungsbelege, einschließlich Rechnungen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8 Jahre (bis 2024: 10 Jahre)</w:t>
            </w:r>
          </w:p>
        </w:tc>
        <w:tc>
          <w:tcPr/>
          <w:p>
            <w:pPr>
              <w:pStyle w:val="Compact"/>
            </w:pPr>
            <w:sdt>
              <w:sdtPr>
                <w:id w:val="101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[Aufbewahrungsfrist des Mandanten / Regel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Handels- und Geschäftsbriefe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6 Jahre</w:t>
            </w:r>
          </w:p>
        </w:tc>
        <w:tc>
          <w:tcPr/>
          <w:p>
            <w:pPr>
              <w:pStyle w:val="Compact"/>
            </w:pPr>
            <w:sdt>
              <w:sdtPr>
                <w:id w:val="101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sdt>
              <w:sdtPr>
                <w:id w:val="101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[Bücher, Jahresabschlüsse, … soweit per E-Mail]</w:t>
                </w:r>
              </w:sdtContent>
            </w:sdt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10 Jahre</w:t>
            </w:r>
          </w:p>
        </w:tc>
        <w:tc>
          <w:tcPr/>
          <w:p>
            <w:pPr>
              <w:pStyle w:val="Compact"/>
            </w:pPr>
            <w:sdt>
              <w:sdtPr>
                <w:id w:val="101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FirstParagraph"/>
      </w:pPr>
      <w:r>
        <w:rPr>
          <w:lang w:val="de-DE"/>
        </w:rPr>
        <w:t xml:space="preserve">Die Aufbewahrungsfrist des Archivs ist auf</w:t>
      </w:r>
      <w:r>
        <w:rPr>
          <w:lang w:val="de-DE"/>
        </w:rPr>
        <w:t xml:space="preserve"> </w:t>
      </w:r>
      <w:sdt>
        <w:sdtPr>
          <w:id w:val="1020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[10 Jahre (3650 Tage)]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eingestellt, die längste für die archivierten E-Mails geltende Frist.</w:t>
      </w:r>
      <w:r>
        <w:rPr>
          <w:lang w:val="de-DE"/>
        </w:rPr>
        <w:t xml:space="preserve"> </w:t>
      </w:r>
      <w:sdt>
        <w:sdtPr>
          <w:id w:val="1021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[Ausnahmen per Aufbewahrungsregel: z. B. Newsletter von … nach … Tagen.]</w:t>
          </w:r>
        </w:sdtContent>
      </w:sdt>
    </w:p>
    <w:p>
      <w:pPr>
        <w:pStyle w:val="BodyText"/>
      </w:pPr>
      <w:r>
        <w:rPr>
          <w:i/>
          <w:iCs/>
          <w:lang w:val="de-DE"/>
        </w:rPr>
        <w:t xml:space="preserve">Die gesetzliche Frist beginnt mit dem Schluss des Kalenderjahres, in dem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die E-Mail empfangen oder abgesandt wurde. Piler rechnet die Frist ab dem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Datum der E-Mail: Eine E-Mail vom März ist nach 8 Jahren im März fällig,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die gesetzliche Frist endet erst am Jahresende. Stellen Sie die Frist daher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ein Jahr länger ein (z. B. 9 statt 8 Jahre), oder stimmen Sie sie mit Ihrem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Steuerberater ab.</w:t>
      </w:r>
    </w:p>
    <w:p>
      <w:pPr>
        <w:pStyle w:val="Heading2"/>
      </w:pPr>
      <w:bookmarkStart w:id="16" w:name="_verantwortlichkeiten"/>
      <w:r>
        <w:rPr>
          <w:lang w:val="de-DE"/>
        </w:rPr>
        <w:t xml:space="preserve">1.4 Verantwortlichkeiten</w:t>
      </w:r>
      <w:bookmarkEnd w:id="16"/>
    </w:p>
    <w:p>
      <w:pPr>
        <w:pStyle w:val="FirstParagraph"/>
      </w:pPr>
      <w:r>
        <w:rPr>
          <w:i/>
          <w:iCs/>
          <w:lang w:val="de-DE"/>
        </w:rPr>
        <w:t xml:space="preserve">Die Verantwortung für die Ordnungsmäßigkeit bleibt beim Unternehmen, auch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wenn ein Dienstleister das Archiv betreibt (Rz. 21).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12"/>
        <w:gridCol w:w="2987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Aufgabe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Verantwortlich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Vertretung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Gesamtverantwortung</w:t>
            </w:r>
          </w:p>
        </w:tc>
        <w:tc>
          <w:tcPr/>
          <w:p>
            <w:pPr>
              <w:pStyle w:val="Compact"/>
            </w:pPr>
            <w:sdt>
              <w:sdtPr>
                <w:id w:val="102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[Geschäftsführung: Name]</w:t>
                </w:r>
              </w:sdtContent>
            </w:sdt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Betrieb des Archivs (Server, Updates, Datensicherung)</w:t>
            </w:r>
          </w:p>
        </w:tc>
        <w:tc>
          <w:tcPr/>
          <w:p>
            <w:pPr>
              <w:pStyle w:val="Compact"/>
            </w:pPr>
            <w:sdt>
              <w:sdtPr>
                <w:id w:val="102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[IT: Name / Dienstleister: Firma, Ansprechpartner]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2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Administration in Piler (Benutzer, Rollen, Aufbewahrungsregeln)</w:t>
            </w:r>
          </w:p>
        </w:tc>
        <w:tc>
          <w:tcPr/>
          <w:p>
            <w:pPr>
              <w:pStyle w:val="Compact"/>
            </w:pPr>
            <w:sdt>
              <w:sdtPr>
                <w:id w:val="102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2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Freigabe von Löschungen (Datenschutzbeauftragter, falls Löschen aktiviert)</w:t>
            </w:r>
          </w:p>
        </w:tc>
        <w:tc>
          <w:tcPr/>
          <w:p>
            <w:pPr>
              <w:pStyle w:val="Compact"/>
            </w:pPr>
            <w:sdt>
              <w:sdtPr>
                <w:id w:val="102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2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Prüfung des Audit-Logs und der Berechtigungen</w:t>
            </w:r>
          </w:p>
        </w:tc>
        <w:tc>
          <w:tcPr/>
          <w:p>
            <w:pPr>
              <w:pStyle w:val="Compact"/>
            </w:pPr>
            <w:sdt>
              <w:sdtPr>
                <w:id w:val="102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3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Ansprechpartner für die Betriebsprüfung</w:t>
            </w:r>
          </w:p>
        </w:tc>
        <w:tc>
          <w:tcPr/>
          <w:p>
            <w:pPr>
              <w:pStyle w:val="Compact"/>
            </w:pPr>
            <w:sdt>
              <w:sdtPr>
                <w:id w:val="103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3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Pflege dieser Verfahrensdokumentation</w:t>
            </w:r>
          </w:p>
        </w:tc>
        <w:tc>
          <w:tcPr/>
          <w:p>
            <w:pPr>
              <w:pStyle w:val="Compact"/>
            </w:pPr>
            <w:sdt>
              <w:sdtPr>
                <w:id w:val="103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3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FirstParagraph"/>
      </w:pPr>
      <w:sdt>
        <w:sdtPr>
          <w:id w:val="1035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[Bei einem Dienstleister: Vertrag vom [Datum] mit [Firma], Leistungen: Betrieb, Datensicherung, Updates, …]</w:t>
          </w:r>
        </w:sdtContent>
      </w:sdt>
    </w:p>
    <w:p>
      <w:pPr>
        <w:pStyle w:val="Heading1"/>
      </w:pPr>
      <w:bookmarkStart w:id="17" w:name="_anwenderdokumentation"/>
      <w:r>
        <w:rPr>
          <w:lang w:val="de-DE"/>
        </w:rPr>
        <w:t xml:space="preserve">2. Anwenderdokumentation</w:t>
      </w:r>
      <w:bookmarkEnd w:id="17"/>
    </w:p>
    <w:p>
      <w:pPr>
        <w:pStyle w:val="Heading2"/>
      </w:pPr>
      <w:bookmarkStart w:id="18" w:name="_ca2e442913bd57292c4c456a2daf6159229b0a3"/>
      <w:r>
        <w:rPr>
          <w:lang w:val="de-DE"/>
        </w:rPr>
        <w:t xml:space="preserve">2.1 Rollen und Berechtigungen</w:t>
      </w:r>
      <w:bookmarkEnd w:id="18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08"/>
        <w:gridCol w:w="3988"/>
        <w:gridCol w:w="1823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Rolle in Piler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Darf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Im Unternehmen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Benutzer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Die eigenen E-Mails suchen, ansehen, herunterladen und wiederherstellen (die E-Mails der eigenen Adressen und der zugewiesenen Gruppen)</w:t>
            </w:r>
          </w:p>
        </w:tc>
        <w:tc>
          <w:tcPr/>
          <w:p>
            <w:pPr>
              <w:pStyle w:val="Compact"/>
            </w:pPr>
            <w:sdt>
              <w:sdtPr>
                <w:id w:val="103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[alle Mitarbeiter /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Auditor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Alle archivierten E-Mails suchen, ansehen und exportieren; Löschungen beantragen, falls das Löschen aktiviert ist</w:t>
            </w:r>
          </w:p>
        </w:tc>
        <w:tc>
          <w:tcPr/>
          <w:p>
            <w:pPr>
              <w:pStyle w:val="Compact"/>
            </w:pPr>
            <w:sdt>
              <w:sdtPr>
                <w:id w:val="103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[Name(n)]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Datenschutzbeauftragter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Löschanträge freigeben oder ablehnen</w:t>
            </w:r>
          </w:p>
        </w:tc>
        <w:tc>
          <w:tcPr/>
          <w:p>
            <w:pPr>
              <w:pStyle w:val="Compact"/>
            </w:pPr>
            <w:sdt>
              <w:sdtPr>
                <w:id w:val="103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[Name(n) / nicht vergeben]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Administrator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Benutzer, Gruppen, Domains, Aufbewahrungsregeln und Einstellungen verwalten; keine E-Mails lesen</w:t>
            </w:r>
          </w:p>
        </w:tc>
        <w:tc>
          <w:tcPr/>
          <w:p>
            <w:pPr>
              <w:pStyle w:val="Compact"/>
            </w:pPr>
            <w:sdt>
              <w:sdtPr>
                <w:id w:val="103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[Name(n)]</w:t>
                </w:r>
              </w:sdtContent>
            </w:sdt>
          </w:p>
        </w:tc>
      </w:tr>
    </w:tbl>
    <w:p>
      <w:pPr>
        <w:pStyle w:val="FirstParagraph"/>
      </w:pPr>
      <w:r>
        <w:rPr>
          <w:lang w:val="de-DE"/>
        </w:rPr>
        <w:t xml:space="preserve">Die Anmeldung erfolgt über</w:t>
      </w:r>
      <w:r>
        <w:rPr>
          <w:lang w:val="de-DE"/>
        </w:rPr>
        <w:t xml:space="preserve"> </w:t>
      </w:r>
      <w:sdt>
        <w:sdtPr>
          <w:id w:val="1040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[Active Directory / LDAP / SAML (z. B. Microsoft Entra ID) / lokale Konten]</w:t>
          </w:r>
        </w:sdtContent>
      </w:sdt>
      <w:r>
        <w:rPr>
          <w:lang w:val="de-DE"/>
        </w:rPr>
        <w:t xml:space="preserve">,</w:t>
      </w:r>
      <w:r>
        <w:rPr>
          <w:lang w:val="de-DE"/>
        </w:rPr>
        <w:t xml:space="preserve"> </w:t>
      </w:r>
      <w:sdt>
        <w:sdtPr>
          <w:id w:val="1041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[mit Zwei-Faktor-Authentifizierung für Administratoren und Auditoren]</w:t>
          </w:r>
        </w:sdtContent>
      </w:sdt>
      <w:r>
        <w:rPr>
          <w:lang w:val="de-DE"/>
        </w:rPr>
        <w:t xml:space="preserve">.</w:t>
      </w:r>
    </w:p>
    <w:p>
      <w:pPr>
        <w:pStyle w:val="BodyText"/>
      </w:pPr>
      <w:sdt>
        <w:sdtPr>
          <w:id w:val="1042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[Berechtigungskonzept: Wer vergibt Rollen, auf wessen Antrag, wie wird es dokumentiert?]</w:t>
          </w:r>
        </w:sdtContent>
      </w:sdt>
    </w:p>
    <w:p>
      <w:pPr>
        <w:pStyle w:val="Heading2"/>
      </w:pPr>
      <w:bookmarkStart w:id="19" w:name="_d9457540fcd785e9f6335045e122014c6f997f2"/>
      <w:r>
        <w:rPr>
          <w:lang w:val="de-DE"/>
        </w:rPr>
        <w:t xml:space="preserve">2.2 Suchen, Ansehen, Exportieren</w:t>
      </w:r>
      <w:bookmarkEnd w:id="19"/>
    </w:p>
    <w:p>
      <w:pPr>
        <w:pStyle w:val="FirstParagraph"/>
      </w:pPr>
      <w:r>
        <w:rPr>
          <w:lang w:val="de-DE"/>
        </w:rPr>
        <w:t xml:space="preserve">Berechtigte Benutzer suchen in der Weboberfläche von Piler</w:t>
      </w:r>
      <w:r>
        <w:rPr>
          <w:lang w:val="de-DE"/>
        </w:rPr>
        <w:t xml:space="preserve"> </w:t>
      </w:r>
      <w:r>
        <w:rPr>
          <w:lang w:val="de-DE"/>
        </w:rPr>
        <w:t xml:space="preserve">(https://</w:t>
      </w:r>
      <w:sdt>
        <w:sdtPr>
          <w:id w:val="1043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[archiv.beispiel.de]</w:t>
          </w:r>
        </w:sdtContent>
      </w:sdt>
      <w:r>
        <w:rPr>
          <w:lang w:val="de-DE"/>
        </w:rPr>
        <w:t xml:space="preserve">) im Volltext von Text, Betreff und Anhängen</w:t>
      </w:r>
      <w:r>
        <w:rPr>
          <w:lang w:val="de-DE"/>
        </w:rPr>
        <w:t xml:space="preserve"> </w:t>
      </w:r>
      <w:r>
        <w:rPr>
          <w:lang w:val="de-DE"/>
        </w:rPr>
        <w:t xml:space="preserve">sowie nach Absender, Empfänger, Zeitraum, Größe und Typ der Anhänge.</w:t>
      </w:r>
      <w:r>
        <w:rPr>
          <w:lang w:val="de-DE"/>
        </w:rPr>
        <w:t xml:space="preserve"> </w:t>
      </w:r>
      <w:r>
        <w:rPr>
          <w:lang w:val="de-DE"/>
        </w:rPr>
        <w:t xml:space="preserve">Jede E-Mail kann am Bildschirm gelesen (Rz. 156, 157), als Original (EML)</w:t>
      </w:r>
      <w:r>
        <w:rPr>
          <w:lang w:val="de-DE"/>
        </w:rPr>
        <w:t xml:space="preserve"> </w:t>
      </w:r>
      <w:r>
        <w:rPr>
          <w:lang w:val="de-DE"/>
        </w:rPr>
        <w:t xml:space="preserve">heruntergeladen oder ins eigene Postfach wiederhergestellt werden.</w:t>
      </w:r>
      <w:r>
        <w:rPr>
          <w:lang w:val="de-DE"/>
        </w:rPr>
        <w:t xml:space="preserve"> </w:t>
      </w:r>
      <w:r>
        <w:rPr>
          <w:lang w:val="de-DE"/>
        </w:rPr>
        <w:t xml:space="preserve">Auditoren können Suchergebnisse exportieren (EML, MBOX, PDF, CSV,</w:t>
      </w:r>
      <w:r>
        <w:rPr>
          <w:lang w:val="de-DE"/>
        </w:rPr>
        <w:t xml:space="preserve"> </w:t>
      </w:r>
      <w:r>
        <w:rPr>
          <w:lang w:val="de-DE"/>
        </w:rPr>
        <w:t xml:space="preserve">eDiscovery-Exporte).</w:t>
      </w:r>
    </w:p>
    <w:p>
      <w:pPr>
        <w:pStyle w:val="BodyText"/>
      </w:pPr>
      <w:r>
        <w:rPr>
          <w:lang w:val="de-DE"/>
        </w:rPr>
        <w:t xml:space="preserve">Ergänzungen (Tags, Notizen) werden getrennt von der E-Mail gespeichert;</w:t>
      </w:r>
      <w:r>
        <w:rPr>
          <w:lang w:val="de-DE"/>
        </w:rPr>
        <w:t xml:space="preserve"> </w:t>
      </w:r>
      <w:r>
        <w:rPr>
          <w:lang w:val="de-DE"/>
        </w:rPr>
        <w:t xml:space="preserve">die E-Mail selbst bleibt unverändert (Rz. 123).</w:t>
      </w:r>
    </w:p>
    <w:p>
      <w:pPr>
        <w:pStyle w:val="Heading2"/>
      </w:pPr>
      <w:bookmarkStart w:id="20" w:name="_löschung"/>
      <w:r>
        <w:rPr>
          <w:lang w:val="de-DE"/>
        </w:rPr>
        <w:t xml:space="preserve">2.3 Löschung</w:t>
      </w:r>
      <w:bookmarkEnd w:id="20"/>
    </w:p>
    <w:p>
      <w:pPr>
        <w:pStyle w:val="FirstParagraph"/>
      </w:pPr>
      <w:sdt>
        <w:sdtPr>
          <w:id w:val="1044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[Variante A, empfohlen:]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Das Löschen ist deaktiviert</w:t>
      </w:r>
      <w:r>
        <w:rPr>
          <w:lang w:val="de-DE"/>
        </w:rPr>
        <w:t xml:space="preserve"> </w:t>
      </w:r>
      <w:r>
        <w:rPr>
          <w:lang w:val="de-DE"/>
        </w:rPr>
        <w:t xml:space="preserve">(</w:t>
      </w:r>
      <w:r>
        <w:rPr>
          <w:rStyle w:val="VerbatimChar"/>
          <w:lang w:val="de-DE"/>
        </w:rPr>
        <w:t xml:space="preserve">ENABLE_DELETE=false</w:t>
      </w:r>
      <w:r>
        <w:rPr>
          <w:lang w:val="de-DE"/>
        </w:rPr>
        <w:t xml:space="preserve">). Archivierte E-Mails werden erst nach Ablauf ihrer</w:t>
      </w:r>
      <w:r>
        <w:rPr>
          <w:lang w:val="de-DE"/>
        </w:rPr>
        <w:t xml:space="preserve"> </w:t>
      </w:r>
      <w:r>
        <w:rPr>
          <w:lang w:val="de-DE"/>
        </w:rPr>
        <w:t xml:space="preserve">Aufbewahrungsfrist automatisch bereinigt.</w:t>
      </w:r>
    </w:p>
    <w:p>
      <w:pPr>
        <w:pStyle w:val="BodyText"/>
      </w:pPr>
      <w:sdt>
        <w:sdtPr>
          <w:id w:val="1045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[Variante B:]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Das Löschen ist aktiviert, für</w:t>
      </w:r>
      <w:r>
        <w:rPr>
          <w:lang w:val="de-DE"/>
        </w:rPr>
        <w:t xml:space="preserve"> </w:t>
      </w:r>
      <w:sdt>
        <w:sdtPr>
          <w:id w:val="1046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[Löschanträge nach der DSGVO]</w:t>
          </w:r>
        </w:sdtContent>
      </w:sdt>
      <w:r>
        <w:rPr>
          <w:lang w:val="de-DE"/>
        </w:rPr>
        <w:t xml:space="preserve">. Auditoren</w:t>
      </w:r>
      <w:r>
        <w:rPr>
          <w:lang w:val="de-DE"/>
        </w:rPr>
        <w:t xml:space="preserve"> </w:t>
      </w:r>
      <w:sdt>
        <w:sdtPr>
          <w:id w:val="1047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[und Benutzer]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können die Löschung einer E-Mail mit</w:t>
      </w:r>
      <w:r>
        <w:rPr>
          <w:lang w:val="de-DE"/>
        </w:rPr>
        <w:t xml:space="preserve"> </w:t>
      </w:r>
      <w:r>
        <w:rPr>
          <w:lang w:val="de-DE"/>
        </w:rPr>
        <w:t xml:space="preserve">Begründung beantragen; der Datenschutzbeauftragte gibt jeden Antrag frei</w:t>
      </w:r>
      <w:r>
        <w:rPr>
          <w:lang w:val="de-DE"/>
        </w:rPr>
        <w:t xml:space="preserve"> </w:t>
      </w:r>
      <w:r>
        <w:rPr>
          <w:lang w:val="de-DE"/>
        </w:rPr>
        <w:t xml:space="preserve">oder lehnt ihn ab (Vier-Augen-Prinzip,</w:t>
      </w:r>
      <w:r>
        <w:rPr>
          <w:lang w:val="de-DE"/>
        </w:rPr>
        <w:t xml:space="preserve"> </w:t>
      </w:r>
      <w:r>
        <w:rPr>
          <w:rStyle w:val="VerbatimChar"/>
          <w:lang w:val="de-DE"/>
        </w:rPr>
        <w:t xml:space="preserve">NEED_TO_APPROVE_DELETE=true</w:t>
      </w:r>
      <w:r>
        <w:rPr>
          <w:lang w:val="de-DE"/>
        </w:rPr>
        <w:t xml:space="preserve">).</w:t>
      </w:r>
      <w:r>
        <w:rPr>
          <w:lang w:val="de-DE"/>
        </w:rPr>
        <w:t xml:space="preserve"> </w:t>
      </w:r>
      <w:r>
        <w:rPr>
          <w:lang w:val="de-DE"/>
        </w:rPr>
        <w:t xml:space="preserve">Steuer- und handelsrechtliche Aufbewahrungspflichten gehen einem</w:t>
      </w:r>
      <w:r>
        <w:rPr>
          <w:lang w:val="de-DE"/>
        </w:rPr>
        <w:t xml:space="preserve"> </w:t>
      </w:r>
      <w:r>
        <w:rPr>
          <w:lang w:val="de-DE"/>
        </w:rPr>
        <w:t xml:space="preserve">Löschantrag nach der DSGVO in der Regel vor (Art. 17 Abs. 3 lit. b DSGVO).</w:t>
      </w:r>
      <w:r>
        <w:rPr>
          <w:lang w:val="de-DE"/>
        </w:rPr>
        <w:t xml:space="preserve"> </w:t>
      </w:r>
      <w:sdt>
        <w:sdtPr>
          <w:id w:val="1048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[Wie wird geprüft, ob eine E-Mail aufbewahrungspflichtig ist?]</w:t>
          </w:r>
        </w:sdtContent>
      </w:sdt>
    </w:p>
    <w:p>
      <w:pPr>
        <w:pStyle w:val="Heading2"/>
      </w:pPr>
      <w:bookmarkStart w:id="21" w:name="_0027ed420bb0f96fa44f61a000bd1ef24631af8"/>
      <w:r>
        <w:rPr>
          <w:lang w:val="de-DE"/>
        </w:rPr>
        <w:t xml:space="preserve">2.4 Datenzugriff bei der Außenprüfung</w:t>
      </w:r>
      <w:bookmarkEnd w:id="21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12"/>
        <w:gridCol w:w="510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Zugriff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Umsetzung im Unternehmen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Z1, unmittelbarer Datenzugriff (Rz. 165)</w:t>
            </w:r>
          </w:p>
        </w:tc>
        <w:tc>
          <w:tcPr/>
          <w:p>
            <w:pPr>
              <w:pStyle w:val="Compact"/>
            </w:pPr>
            <w:sdt>
              <w:sdtPr>
                <w:id w:val="104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[Ein Auditor-Konto für die Dauer der Prüfung, vor Ort; danach deaktiviert. Hinweis: Ein Auditor sieht alle archivierten E-Mails.]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Z2, mittelbarer Datenzugriff (Rz. 166)</w:t>
            </w:r>
          </w:p>
        </w:tc>
        <w:tc>
          <w:tcPr/>
          <w:p>
            <w:pPr>
              <w:pStyle w:val="Compact"/>
            </w:pPr>
            <w:sdt>
              <w:sdtPr>
                <w:id w:val="105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[Der Ansprechpartner sucht die E-Mails nach den Vorgaben des Prüfers und stellt sie zur Verfügung.]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Z3, Datenüberlassung (Rz. 167)</w:t>
            </w:r>
          </w:p>
        </w:tc>
        <w:tc>
          <w:tcPr/>
          <w:p>
            <w:pPr>
              <w:pStyle w:val="Compact"/>
            </w:pPr>
            <w:sdt>
              <w:sdtPr>
                <w:id w:val="105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[Export der ausgewählten E-Mails als EML auf einen Datenträger.]</w:t>
                </w:r>
              </w:sdtContent>
            </w:sdt>
          </w:p>
        </w:tc>
      </w:tr>
    </w:tbl>
    <w:p>
      <w:pPr>
        <w:pStyle w:val="FirstParagraph"/>
      </w:pPr>
      <w:r>
        <w:rPr>
          <w:lang w:val="de-DE"/>
        </w:rPr>
        <w:t xml:space="preserve">Welche E-Mails steuerlich relevant sind, legt das Unternehmen fest</w:t>
      </w:r>
      <w:r>
        <w:rPr>
          <w:lang w:val="de-DE"/>
        </w:rPr>
        <w:t xml:space="preserve"> </w:t>
      </w:r>
      <w:r>
        <w:rPr>
          <w:lang w:val="de-DE"/>
        </w:rPr>
        <w:t xml:space="preserve">(Erstqualifikation, Rz. 161):</w:t>
      </w:r>
      <w:r>
        <w:rPr>
          <w:lang w:val="de-DE"/>
        </w:rPr>
        <w:t xml:space="preserve"> </w:t>
      </w:r>
      <w:sdt>
        <w:sdtPr>
          <w:id w:val="1052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[Vorgehen]</w:t>
          </w:r>
        </w:sdtContent>
      </w:sdt>
      <w:r>
        <w:rPr>
          <w:lang w:val="de-DE"/>
        </w:rPr>
        <w:t xml:space="preserve">.</w:t>
      </w:r>
    </w:p>
    <w:p>
      <w:pPr>
        <w:pStyle w:val="Heading1"/>
      </w:pPr>
      <w:bookmarkStart w:id="22" w:name="_38b6c98c7c100a1508b5713a692df5a49157bea"/>
      <w:r>
        <w:rPr>
          <w:lang w:val="de-DE"/>
        </w:rPr>
        <w:t xml:space="preserve">3. Technische Systemdokumentation</w:t>
      </w:r>
      <w:bookmarkEnd w:id="22"/>
    </w:p>
    <w:p>
      <w:pPr>
        <w:pStyle w:val="Heading2"/>
      </w:pPr>
      <w:bookmarkStart w:id="23" w:name="_2cfbf7adaf44ee4cb182290d895bfcd5c0d5950"/>
      <w:r>
        <w:rPr>
          <w:lang w:val="de-DE"/>
        </w:rPr>
        <w:t xml:space="preserve">3.1 Eingesetzte Software</w:t>
      </w:r>
      <w:bookmarkEnd w:id="23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75"/>
        <w:gridCol w:w="5244"/>
      </w:tblGrid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Software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Piler Enterprise, Version</w:t>
            </w:r>
            <w:r>
              <w:rPr>
                <w:lang w:val="de-DE"/>
              </w:rPr>
              <w:t xml:space="preserve"> </w:t>
            </w:r>
            <w:sdt>
              <w:sdtPr>
                <w:id w:val="105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[2.2.5]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Betriebssystem</w:t>
            </w:r>
          </w:p>
        </w:tc>
        <w:tc>
          <w:tcPr/>
          <w:p>
            <w:pPr>
              <w:pStyle w:val="Compact"/>
            </w:pPr>
            <w:sdt>
              <w:sdtPr>
                <w:id w:val="105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[z. B. Ubuntu 26.04 / Docker auf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Datenbank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MariaDB</w:t>
            </w:r>
            <w:r>
              <w:rPr>
                <w:lang w:val="de-DE"/>
              </w:rPr>
              <w:t xml:space="preserve"> </w:t>
            </w:r>
            <w:sdt>
              <w:sdtPr>
                <w:id w:val="105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[Version]</w:t>
                </w:r>
              </w:sdtContent>
            </w:sdt>
            <w:r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(Metadaten)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Suchindex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Manticore Search</w:t>
            </w:r>
            <w:r>
              <w:rPr>
                <w:lang w:val="de-DE"/>
              </w:rPr>
              <w:t xml:space="preserve"> </w:t>
            </w:r>
            <w:sdt>
              <w:sdtPr>
                <w:id w:val="105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[Version]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Ablage der E-Mails</w:t>
            </w:r>
          </w:p>
        </w:tc>
        <w:tc>
          <w:tcPr/>
          <w:p>
            <w:pPr>
              <w:pStyle w:val="Compact"/>
            </w:pPr>
            <w:sdt>
              <w:sdtPr>
                <w:id w:val="105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[lokales Dateisystem / S3-kompatibler Speicher: Anbieter, Bucket]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Betrieb</w:t>
            </w:r>
          </w:p>
        </w:tc>
        <w:tc>
          <w:tcPr/>
          <w:p>
            <w:pPr>
              <w:pStyle w:val="Compact"/>
            </w:pPr>
            <w:sdt>
              <w:sdtPr>
                <w:id w:val="105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[eigener Server im Rechenzentrum … / Hosting-Partner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Standort der Daten</w:t>
            </w:r>
          </w:p>
        </w:tc>
        <w:tc>
          <w:tcPr/>
          <w:p>
            <w:pPr>
              <w:pStyle w:val="Compact"/>
            </w:pPr>
            <w:sdt>
              <w:sdtPr>
                <w:id w:val="105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[Land, Rechenzentrum]</w:t>
                </w:r>
              </w:sdtContent>
            </w:sdt>
          </w:p>
        </w:tc>
      </w:tr>
    </w:tbl>
    <w:p>
      <w:pPr>
        <w:pStyle w:val="FirstParagraph"/>
      </w:pPr>
      <w:sdt>
        <w:sdtPr>
          <w:id w:val="1060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[Architektur: ein Server / Master mit [n] Workern; Hostnamen; Netz.]</w:t>
          </w:r>
        </w:sdtContent>
      </w:sdt>
    </w:p>
    <w:p>
      <w:pPr>
        <w:pStyle w:val="BodyText"/>
      </w:pPr>
      <w:r>
        <w:rPr>
          <w:i/>
          <w:iCs/>
          <w:lang w:val="de-DE"/>
        </w:rPr>
        <w:t xml:space="preserve">Die Versionen der Programme müssen den im jeweiligen Zeitraum eingesetzten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entsprechen (Programmidentität, Rz. 154): Halten Sie jedes Update in der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Änderungshistorie fest.</w:t>
      </w:r>
    </w:p>
    <w:p>
      <w:pPr>
        <w:pStyle w:val="Heading2"/>
      </w:pPr>
      <w:bookmarkStart w:id="24" w:name="_erfassung"/>
      <w:r>
        <w:rPr>
          <w:lang w:val="de-DE"/>
        </w:rPr>
        <w:t xml:space="preserve">3.2 Erfassung</w:t>
      </w:r>
      <w:bookmarkEnd w:id="24"/>
    </w:p>
    <w:p>
      <w:pPr>
        <w:pStyle w:val="FirstParagraph"/>
      </w:pPr>
      <w:r>
        <w:rPr>
          <w:lang w:val="de-DE"/>
        </w:rPr>
        <w:t xml:space="preserve">Der Mailserver</w:t>
      </w:r>
      <w:r>
        <w:rPr>
          <w:lang w:val="de-DE"/>
        </w:rPr>
        <w:t xml:space="preserve"> </w:t>
      </w:r>
      <w:sdt>
        <w:sdtPr>
          <w:id w:val="1061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[Name]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sendet mit einer Journalregel eine Kopie jeder ein-</w:t>
      </w:r>
      <w:r>
        <w:rPr>
          <w:lang w:val="de-DE"/>
        </w:rPr>
        <w:t xml:space="preserve"> </w:t>
      </w:r>
      <w:r>
        <w:rPr>
          <w:lang w:val="de-DE"/>
        </w:rPr>
        <w:t xml:space="preserve">und ausgehenden E-Mail per SMTP an den Dienst piler-smtp des Archivs</w:t>
      </w:r>
      <w:r>
        <w:rPr>
          <w:lang w:val="de-DE"/>
        </w:rPr>
        <w:t xml:space="preserve"> </w:t>
      </w:r>
      <w:r>
        <w:rPr>
          <w:lang w:val="de-DE"/>
        </w:rPr>
        <w:t xml:space="preserve">(</w:t>
      </w:r>
      <w:sdt>
        <w:sdtPr>
          <w:id w:val="1062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[Hostname:Port]</w:t>
          </w:r>
        </w:sdtContent>
      </w:sdt>
      <w:r>
        <w:rPr>
          <w:lang w:val="de-DE"/>
        </w:rPr>
        <w:t xml:space="preserve">). Die Erfassung hängt nicht von Benutzern oder</w:t>
      </w:r>
      <w:r>
        <w:rPr>
          <w:lang w:val="de-DE"/>
        </w:rPr>
        <w:t xml:space="preserve"> </w:t>
      </w:r>
      <w:r>
        <w:rPr>
          <w:lang w:val="de-DE"/>
        </w:rPr>
        <w:t xml:space="preserve">E-Mail-Programmen ab, und E-Mails, die Benutzer in ihrem Postfach löschen,</w:t>
      </w:r>
      <w:r>
        <w:rPr>
          <w:lang w:val="de-DE"/>
        </w:rPr>
        <w:t xml:space="preserve"> </w:t>
      </w:r>
      <w:r>
        <w:rPr>
          <w:lang w:val="de-DE"/>
        </w:rPr>
        <w:t xml:space="preserve">sind bereits archiviert.</w:t>
      </w:r>
    </w:p>
    <w:p>
      <w:pPr>
        <w:pStyle w:val="BodyText"/>
      </w:pPr>
      <w:sdt>
        <w:sdtPr>
          <w:id w:val="1063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[Umschlagsdateien sind aktiviert (enable_envelope_sidecar): Die Umschlagsempfänger, z. B. Bcc-Empfänger, werden mit der E-Mail archiviert. piler-smtp ist nur für die Mailserver erreichbar (Firewall).]</w:t>
          </w:r>
        </w:sdtContent>
      </w:sdt>
    </w:p>
    <w:p>
      <w:pPr>
        <w:pStyle w:val="BodyText"/>
      </w:pPr>
      <w:r>
        <w:rPr>
          <w:i/>
          <w:iCs/>
          <w:lang w:val="de-DE"/>
        </w:rPr>
        <w:t xml:space="preserve">Prüfen Sie die Vollständigkeit regelmäßig, siehe 5.2.</w:t>
      </w:r>
    </w:p>
    <w:p>
      <w:pPr>
        <w:pStyle w:val="Heading2"/>
      </w:pPr>
      <w:bookmarkStart w:id="25" w:name="_d1512af7e5fc224562e3263990b48b7095df06a"/>
      <w:r>
        <w:rPr>
          <w:lang w:val="de-DE"/>
        </w:rPr>
        <w:t xml:space="preserve">3.3 Verarbeitung und Speicherung</w:t>
      </w:r>
      <w:bookmarkEnd w:id="25"/>
    </w:p>
    <w:p>
      <w:pPr>
        <w:pStyle w:val="FirstParagraph"/>
      </w:pPr>
      <w:r>
        <w:rPr>
          <w:lang w:val="de-DE"/>
        </w:rPr>
        <w:t xml:space="preserve">Piler archiviert jede E-Mail beim Empfang:</w:t>
      </w:r>
    </w:p>
    <w:p>
      <w:pPr>
        <w:pStyle w:val="Compact"/>
        <w:numPr>
          <w:ilvl w:val="0"/>
          <w:numId w:val="1002"/>
        </w:numPr>
      </w:pPr>
      <w:r>
        <w:rPr>
          <w:lang w:val="de-DE"/>
        </w:rPr>
        <w:t xml:space="preserve">Die E-Mail wird im Originalformat (EML) mit allen Kopfzeilen und</w:t>
      </w:r>
      <w:r>
        <w:rPr>
          <w:lang w:val="de-DE"/>
        </w:rPr>
        <w:t xml:space="preserve"> </w:t>
      </w:r>
      <w:r>
        <w:rPr>
          <w:lang w:val="de-DE"/>
        </w:rPr>
        <w:t xml:space="preserve">Anhängen gespeichert, so wie sie empfangen wurde. Anhänge werden nicht</w:t>
      </w:r>
      <w:r>
        <w:rPr>
          <w:lang w:val="de-DE"/>
        </w:rPr>
        <w:t xml:space="preserve"> </w:t>
      </w:r>
      <w:r>
        <w:rPr>
          <w:lang w:val="de-DE"/>
        </w:rPr>
        <w:t xml:space="preserve">umgewandelt (Rz. 119, 129, 131).</w:t>
      </w:r>
    </w:p>
    <w:p>
      <w:pPr>
        <w:pStyle w:val="Compact"/>
        <w:numPr>
          <w:ilvl w:val="0"/>
          <w:numId w:val="1002"/>
        </w:numPr>
      </w:pPr>
      <w:r>
        <w:rPr>
          <w:lang w:val="de-DE"/>
        </w:rPr>
        <w:t xml:space="preserve">Ein SHA-256-Hashwert der E-Mail wird gespeichert; er wird bei jedem</w:t>
      </w:r>
      <w:r>
        <w:rPr>
          <w:lang w:val="de-DE"/>
        </w:rPr>
        <w:t xml:space="preserve"> </w:t>
      </w:r>
      <w:r>
        <w:rPr>
          <w:lang w:val="de-DE"/>
        </w:rPr>
        <w:t xml:space="preserve">Öffnen geprüft.</w:t>
      </w:r>
    </w:p>
    <w:p>
      <w:pPr>
        <w:pStyle w:val="Compact"/>
        <w:numPr>
          <w:ilvl w:val="0"/>
          <w:numId w:val="1002"/>
        </w:numPr>
      </w:pPr>
      <w:r>
        <w:rPr>
          <w:lang w:val="de-DE"/>
        </w:rPr>
        <w:t xml:space="preserve">Die E-Mail wird komprimiert und mit AES verschlüsselt abgelegt.</w:t>
      </w:r>
      <w:r>
        <w:rPr>
          <w:lang w:val="de-DE"/>
        </w:rPr>
        <w:t xml:space="preserve"> </w:t>
      </w:r>
      <w:r>
        <w:rPr>
          <w:lang w:val="de-DE"/>
        </w:rPr>
        <w:t xml:space="preserve">Identische E-Mails und Anhänge identischen Inhalts werden einmal</w:t>
      </w:r>
      <w:r>
        <w:rPr>
          <w:lang w:val="de-DE"/>
        </w:rPr>
        <w:t xml:space="preserve"> </w:t>
      </w:r>
      <w:r>
        <w:rPr>
          <w:lang w:val="de-DE"/>
        </w:rPr>
        <w:t xml:space="preserve">gespeichert.</w:t>
      </w:r>
    </w:p>
    <w:p>
      <w:pPr>
        <w:pStyle w:val="Compact"/>
        <w:numPr>
          <w:ilvl w:val="0"/>
          <w:numId w:val="1002"/>
        </w:numPr>
      </w:pPr>
      <w:r>
        <w:rPr>
          <w:lang w:val="de-DE"/>
        </w:rPr>
        <w:t xml:space="preserve">Absender, Empfänger, Datum, Betreff und weitere Metadaten werden in der</w:t>
      </w:r>
      <w:r>
        <w:rPr>
          <w:lang w:val="de-DE"/>
        </w:rPr>
        <w:t xml:space="preserve"> </w:t>
      </w:r>
      <w:r>
        <w:rPr>
          <w:lang w:val="de-DE"/>
        </w:rPr>
        <w:t xml:space="preserve">Datenbank gespeichert, Text und Anhänge im Suchindex. Jede E-Mail erhält</w:t>
      </w:r>
      <w:r>
        <w:rPr>
          <w:lang w:val="de-DE"/>
        </w:rPr>
        <w:t xml:space="preserve"> </w:t>
      </w:r>
      <w:r>
        <w:rPr>
          <w:lang w:val="de-DE"/>
        </w:rPr>
        <w:t xml:space="preserve">eine eindeutige ID (Rz. 122). Der Suchindex kann aus den gespeicherten</w:t>
      </w:r>
      <w:r>
        <w:rPr>
          <w:lang w:val="de-DE"/>
        </w:rPr>
        <w:t xml:space="preserve"> </w:t>
      </w:r>
      <w:r>
        <w:rPr>
          <w:lang w:val="de-DE"/>
        </w:rPr>
        <w:t xml:space="preserve">E-Mails neu aufgebaut werden.</w:t>
      </w:r>
    </w:p>
    <w:p>
      <w:pPr>
        <w:pStyle w:val="Heading2"/>
      </w:pPr>
      <w:bookmarkStart w:id="26" w:name="_unveränderbarkeit"/>
      <w:r>
        <w:rPr>
          <w:lang w:val="de-DE"/>
        </w:rPr>
        <w:t xml:space="preserve">3.4 Unveränderbarkeit</w:t>
      </w:r>
      <w:bookmarkEnd w:id="26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69"/>
        <w:gridCol w:w="545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Maßnahme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Umsetzung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Keine Änderungsfunktion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Piler hat keine Funktion, eine archivierte E-Mail zu ändern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Hashwert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SHA-256 jeder E-Mail, beim Öffnen geprüft; eine veränderte E-Mail wird als nicht verifiziert angezeigt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Zugriffsschutz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Nur Piler und die Administratoren des Servers haben Zugriff auf die Ablage:</w:t>
            </w:r>
            <w:r>
              <w:rPr>
                <w:lang w:val="de-DE"/>
              </w:rPr>
              <w:t xml:space="preserve"> </w:t>
            </w:r>
            <w:sdt>
              <w:sdtPr>
                <w:id w:val="106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[Beschreibung]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Zeitstempel</w:t>
            </w:r>
          </w:p>
        </w:tc>
        <w:tc>
          <w:tcPr/>
          <w:p>
            <w:pPr>
              <w:pStyle w:val="Compact"/>
            </w:pPr>
            <w:sdt>
              <w:sdtPr>
                <w:id w:val="106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[Das Programm sign lässt die Hashwerte täglich von [Zeitstempeldienst] signieren (RFC 3161) / nicht eingesetzt]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WORM-Speicher</w:t>
            </w:r>
          </w:p>
        </w:tc>
        <w:tc>
          <w:tcPr/>
          <w:p>
            <w:pPr>
              <w:pStyle w:val="Compact"/>
            </w:pPr>
            <w:sdt>
              <w:sdtPr>
                <w:id w:val="106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[S3 Object Lock im Modus [Compliance], Aufbewahrung [n] Jahre / nicht eingesetzt]</w:t>
                </w:r>
              </w:sdtContent>
            </w:sdt>
          </w:p>
        </w:tc>
      </w:tr>
    </w:tbl>
    <w:p>
      <w:pPr>
        <w:pStyle w:val="Heading2"/>
      </w:pPr>
      <w:bookmarkStart w:id="27" w:name="_ed834e37c4d116efc7c7b8d574917607002e3a9"/>
      <w:r>
        <w:rPr>
          <w:lang w:val="de-DE"/>
        </w:rPr>
        <w:t xml:space="preserve">3.5 Aufbewahrung und Löschung</w:t>
      </w:r>
      <w:bookmarkEnd w:id="27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49"/>
        <w:gridCol w:w="367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Einstellung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Aufbewahrungsfrist des Mandanten</w:t>
            </w:r>
          </w:p>
        </w:tc>
        <w:tc>
          <w:tcPr/>
          <w:p>
            <w:pPr>
              <w:pStyle w:val="Compact"/>
            </w:pPr>
            <w:sdt>
              <w:sdtPr>
                <w:id w:val="106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[3650 Tage]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Aufbewahrungsregeln</w:t>
            </w:r>
          </w:p>
        </w:tc>
        <w:tc>
          <w:tcPr/>
          <w:p>
            <w:pPr>
              <w:pStyle w:val="Compact"/>
            </w:pPr>
            <w:sdt>
              <w:sdtPr>
                <w:id w:val="106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[keine / siehe Anhang B]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Bereinigung nach Fristablauf (purge)</w:t>
            </w:r>
          </w:p>
        </w:tc>
        <w:tc>
          <w:tcPr/>
          <w:p>
            <w:pPr>
              <w:pStyle w:val="Compact"/>
            </w:pPr>
            <w:sdt>
              <w:sdtPr>
                <w:id w:val="106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[aktiviert / deaktiviert]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Löschen (</w:t>
            </w:r>
            <w:r>
              <w:rPr>
                <w:rStyle w:val="VerbatimChar"/>
                <w:lang w:val="de-DE"/>
              </w:rPr>
              <w:t xml:space="preserve">ENABLE_DELETE</w:t>
            </w:r>
            <w:r>
              <w:rPr>
                <w:lang w:val="de-DE"/>
              </w:rPr>
              <w:t xml:space="preserve">)</w:t>
            </w:r>
          </w:p>
        </w:tc>
        <w:tc>
          <w:tcPr/>
          <w:p>
            <w:pPr>
              <w:pStyle w:val="Compact"/>
            </w:pPr>
            <w:sdt>
              <w:sdtPr>
                <w:id w:val="107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[false]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Freigabe von Löschungen (</w:t>
            </w:r>
            <w:r>
              <w:rPr>
                <w:rStyle w:val="VerbatimChar"/>
                <w:lang w:val="de-DE"/>
              </w:rPr>
              <w:t xml:space="preserve">NEED_TO_APPROVE_DELETE</w:t>
            </w:r>
            <w:r>
              <w:rPr>
                <w:lang w:val="de-DE"/>
              </w:rPr>
              <w:t xml:space="preserve">)</w:t>
            </w:r>
          </w:p>
        </w:tc>
        <w:tc>
          <w:tcPr/>
          <w:p>
            <w:pPr>
              <w:pStyle w:val="Compact"/>
            </w:pPr>
            <w:sdt>
              <w:sdtPr>
                <w:id w:val="107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[true / nicht relevant]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Löschanträge durch Benutzer (</w:t>
            </w:r>
            <w:r>
              <w:rPr>
                <w:rStyle w:val="VerbatimChar"/>
                <w:lang w:val="de-DE"/>
              </w:rPr>
              <w:t xml:space="preserve">ENABLE_DELETE_FOR_USERS</w:t>
            </w:r>
            <w:r>
              <w:rPr>
                <w:lang w:val="de-DE"/>
              </w:rPr>
              <w:t xml:space="preserve">)</w:t>
            </w:r>
          </w:p>
        </w:tc>
        <w:tc>
          <w:tcPr/>
          <w:p>
            <w:pPr>
              <w:pStyle w:val="Compact"/>
            </w:pPr>
            <w:sdt>
              <w:sdtPr>
                <w:id w:val="107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[false]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Legal Hold</w:t>
            </w:r>
          </w:p>
        </w:tc>
        <w:tc>
          <w:tcPr/>
          <w:p>
            <w:pPr>
              <w:pStyle w:val="Compact"/>
            </w:pPr>
            <w:sdt>
              <w:sdtPr>
                <w:id w:val="107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[eingesetzt für … / nicht eingesetzt]</w:t>
                </w:r>
              </w:sdtContent>
            </w:sdt>
          </w:p>
        </w:tc>
      </w:tr>
    </w:tbl>
    <w:p>
      <w:pPr>
        <w:pStyle w:val="Heading2"/>
      </w:pPr>
      <w:bookmarkStart w:id="28" w:name="_protokollierung"/>
      <w:r>
        <w:rPr>
          <w:lang w:val="de-DE"/>
        </w:rPr>
        <w:t xml:space="preserve">3.6 Protokollierung</w:t>
      </w:r>
      <w:bookmarkEnd w:id="28"/>
    </w:p>
    <w:p>
      <w:pPr>
        <w:pStyle w:val="FirstParagraph"/>
      </w:pPr>
      <w:r>
        <w:rPr>
          <w:lang w:val="de-DE"/>
        </w:rPr>
        <w:t xml:space="preserve">Das Audit-Log von Piler protokolliert Anmeldungen, Suchen, Ansichten,</w:t>
      </w:r>
      <w:r>
        <w:rPr>
          <w:lang w:val="de-DE"/>
        </w:rPr>
        <w:t xml:space="preserve"> </w:t>
      </w:r>
      <w:r>
        <w:rPr>
          <w:lang w:val="de-DE"/>
        </w:rPr>
        <w:t xml:space="preserve">Downloads, Wiederherstellungen, Exporte, Löschanträge und deren Freigabe</w:t>
      </w:r>
      <w:r>
        <w:rPr>
          <w:lang w:val="de-DE"/>
        </w:rPr>
        <w:t xml:space="preserve"> </w:t>
      </w:r>
      <w:r>
        <w:rPr>
          <w:lang w:val="de-DE"/>
        </w:rPr>
        <w:t xml:space="preserve">sowie jede Änderung der Einstellungen über die Weboberfläche oder die API,</w:t>
      </w:r>
      <w:r>
        <w:rPr>
          <w:lang w:val="de-DE"/>
        </w:rPr>
        <w:t xml:space="preserve"> </w:t>
      </w:r>
      <w:r>
        <w:rPr>
          <w:lang w:val="de-DE"/>
        </w:rPr>
        <w:t xml:space="preserve">jeweils mit Benutzer, Zeitpunkt und IP-Adresse (Rz. 111, 117). Das</w:t>
      </w:r>
      <w:r>
        <w:rPr>
          <w:lang w:val="de-DE"/>
        </w:rPr>
        <w:t xml:space="preserve"> </w:t>
      </w:r>
      <w:r>
        <w:rPr>
          <w:lang w:val="de-DE"/>
        </w:rPr>
        <w:t xml:space="preserve">Audit-Log kann in der Weboberfläche und über die API weder geändert noch</w:t>
      </w:r>
      <w:r>
        <w:rPr>
          <w:lang w:val="de-DE"/>
        </w:rPr>
        <w:t xml:space="preserve"> </w:t>
      </w:r>
      <w:r>
        <w:rPr>
          <w:lang w:val="de-DE"/>
        </w:rPr>
        <w:t xml:space="preserve">gelöscht werden.</w:t>
      </w:r>
    </w:p>
    <w:p>
      <w:pPr>
        <w:pStyle w:val="BodyText"/>
      </w:pPr>
      <w:sdt>
        <w:sdtPr>
          <w:id w:val="1074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[Das Audit-Log wird an [SIEM: Produkt] weitergeleitet und dort [n] Jahre aufbewahrt / nicht weitergeleitet.]</w:t>
          </w:r>
        </w:sdtContent>
      </w:sdt>
    </w:p>
    <w:p>
      <w:pPr>
        <w:pStyle w:val="Heading2"/>
      </w:pPr>
      <w:bookmarkStart w:id="29" w:name="_260983855c607f8216bb2626ec68d50a6e35188"/>
      <w:r>
        <w:rPr>
          <w:lang w:val="de-DE"/>
        </w:rPr>
        <w:t xml:space="preserve">3.7 Verschlüsselung und Schlüssel</w:t>
      </w:r>
      <w:bookmarkEnd w:id="29"/>
    </w:p>
    <w:p>
      <w:pPr>
        <w:pStyle w:val="FirstParagraph"/>
      </w:pPr>
      <w:r>
        <w:rPr>
          <w:lang w:val="de-DE"/>
        </w:rPr>
        <w:t xml:space="preserve">Die E-Mails werden mit dem Schlüssel</w:t>
      </w:r>
      <w:r>
        <w:rPr>
          <w:lang w:val="de-DE"/>
        </w:rPr>
        <w:t xml:space="preserve"> </w:t>
      </w:r>
      <w:r>
        <w:rPr>
          <w:rStyle w:val="VerbatimChar"/>
          <w:lang w:val="de-DE"/>
        </w:rPr>
        <w:t xml:space="preserve">piler.key</w:t>
      </w:r>
      <w:r>
        <w:rPr>
          <w:lang w:val="de-DE"/>
        </w:rPr>
        <w:t xml:space="preserve"> </w:t>
      </w:r>
      <w:r>
        <w:rPr>
          <w:lang w:val="de-DE"/>
        </w:rPr>
        <w:t xml:space="preserve">verschlüsselt. Berechtigte</w:t>
      </w:r>
      <w:r>
        <w:rPr>
          <w:lang w:val="de-DE"/>
        </w:rPr>
        <w:t xml:space="preserve"> </w:t>
      </w:r>
      <w:r>
        <w:rPr>
          <w:lang w:val="de-DE"/>
        </w:rPr>
        <w:t xml:space="preserve">Benutzer sehen und exportieren sie entschlüsselt (Rz. 134). Ohne den</w:t>
      </w:r>
      <w:r>
        <w:rPr>
          <w:lang w:val="de-DE"/>
        </w:rPr>
        <w:t xml:space="preserve"> </w:t>
      </w:r>
      <w:r>
        <w:rPr>
          <w:lang w:val="de-DE"/>
        </w:rPr>
        <w:t xml:space="preserve">Schlüssel können die archivierten E-Mails nicht gelesen werden: Er wird für</w:t>
      </w:r>
      <w:r>
        <w:rPr>
          <w:lang w:val="de-DE"/>
        </w:rPr>
        <w:t xml:space="preserve"> </w:t>
      </w:r>
      <w:r>
        <w:rPr>
          <w:lang w:val="de-DE"/>
        </w:rPr>
        <w:t xml:space="preserve">die gesamte Aufbewahrungsfrist aufbewahrt, siehe 4.2.</w:t>
      </w:r>
    </w:p>
    <w:p>
      <w:pPr>
        <w:pStyle w:val="Heading2"/>
      </w:pPr>
      <w:bookmarkStart w:id="30" w:name="_e551d8ff73923d8d7583765eb9c69f5ae494d02"/>
      <w:r>
        <w:rPr>
          <w:lang w:val="de-DE"/>
        </w:rPr>
        <w:t xml:space="preserve">3.8 E-Rechnungen</w:t>
      </w:r>
      <w:bookmarkEnd w:id="30"/>
    </w:p>
    <w:p>
      <w:pPr>
        <w:pStyle w:val="FirstParagraph"/>
      </w:pPr>
      <w:r>
        <w:rPr>
          <w:lang w:val="de-DE"/>
        </w:rPr>
        <w:t xml:space="preserve">E-Rechnungen (XRechnung, ZUGFeRD, Factur-X) werden mit der E-Mail</w:t>
      </w:r>
      <w:r>
        <w:rPr>
          <w:lang w:val="de-DE"/>
        </w:rPr>
        <w:t xml:space="preserve"> </w:t>
      </w:r>
      <w:r>
        <w:rPr>
          <w:lang w:val="de-DE"/>
        </w:rPr>
        <w:t xml:space="preserve">unverändert archiviert: die XML-Datei und das PDF. Damit bleibt der</w:t>
      </w:r>
      <w:r>
        <w:rPr>
          <w:lang w:val="de-DE"/>
        </w:rPr>
        <w:t xml:space="preserve"> </w:t>
      </w:r>
      <w:r>
        <w:rPr>
          <w:lang w:val="de-DE"/>
        </w:rPr>
        <w:t xml:space="preserve">strukturierte Teil erhalten (Rz. 119, 131), ebenso das PDF, falls es</w:t>
      </w:r>
      <w:r>
        <w:rPr>
          <w:lang w:val="de-DE"/>
        </w:rPr>
        <w:t xml:space="preserve"> </w:t>
      </w:r>
      <w:r>
        <w:rPr>
          <w:lang w:val="de-DE"/>
        </w:rPr>
        <w:t xml:space="preserve">zusätzliche steuerlich relevante Informationen enthält.</w:t>
      </w:r>
      <w:r>
        <w:rPr>
          <w:lang w:val="de-DE"/>
        </w:rPr>
        <w:t xml:space="preserve"> </w:t>
      </w:r>
      <w:sdt>
        <w:sdtPr>
          <w:id w:val="1075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[Die Verarbeitung der Rechnungen erfolgt in [Buchhaltungssystem]; das Archiv bewahrt die empfangene E-Mail auf.]</w:t>
          </w:r>
        </w:sdtContent>
      </w:sdt>
    </w:p>
    <w:p>
      <w:pPr>
        <w:pStyle w:val="Heading2"/>
      </w:pPr>
      <w:bookmarkStart w:id="31" w:name="_c3058cd1ca7a05db8fbf099fae38e88ab0beab7"/>
      <w:r>
        <w:rPr>
          <w:lang w:val="de-DE"/>
        </w:rPr>
        <w:t xml:space="preserve">3.9 Schnittstellen und Datenübernahme</w:t>
      </w:r>
      <w:bookmarkEnd w:id="31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520"/>
        <w:gridCol w:w="5400"/>
      </w:tblGrid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Import älterer E-Mails</w:t>
            </w:r>
          </w:p>
        </w:tc>
        <w:tc>
          <w:tcPr/>
          <w:p>
            <w:pPr>
              <w:pStyle w:val="Compact"/>
            </w:pPr>
            <w:sdt>
              <w:sdtPr>
                <w:id w:val="107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[aus … (PST-Dateien / IMAP / Microsoft 365 / altes Archiv) mit pilerimport am …; Anzahl: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Exporte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Auditoren können E-Mails exportieren, siehe 2.2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Weitere Schnittstellen</w:t>
            </w:r>
          </w:p>
        </w:tc>
        <w:tc>
          <w:tcPr/>
          <w:p>
            <w:pPr>
              <w:pStyle w:val="Compact"/>
            </w:pPr>
            <w:sdt>
              <w:sdtPr>
                <w:id w:val="107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[z. B. Outlook-Add-in, API für …, keine]</w:t>
                </w:r>
              </w:sdtContent>
            </w:sdt>
          </w:p>
        </w:tc>
      </w:tr>
    </w:tbl>
    <w:p>
      <w:pPr>
        <w:pStyle w:val="FirstParagraph"/>
      </w:pPr>
      <w:r>
        <w:rPr>
          <w:i/>
          <w:iCs/>
          <w:lang w:val="de-DE"/>
        </w:rPr>
        <w:t xml:space="preserve">Bei einem Systemwechsel müssen die Daten vollständig und unverändert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übernommen werden (Rz. 142 bis 144): Beschreiben Sie Import und Prüfung.</w:t>
      </w:r>
    </w:p>
    <w:p>
      <w:pPr>
        <w:pStyle w:val="Heading1"/>
      </w:pPr>
      <w:bookmarkStart w:id="32" w:name="_betriebsdokumentation"/>
      <w:r>
        <w:rPr>
          <w:lang w:val="de-DE"/>
        </w:rPr>
        <w:t xml:space="preserve">4. Betriebsdokumentation</w:t>
      </w:r>
      <w:bookmarkEnd w:id="32"/>
    </w:p>
    <w:p>
      <w:pPr>
        <w:pStyle w:val="Heading2"/>
      </w:pPr>
      <w:bookmarkStart w:id="33" w:name="_datensicherung"/>
      <w:r>
        <w:rPr>
          <w:lang w:val="de-DE"/>
        </w:rPr>
        <w:t xml:space="preserve">4.1 Datensicherung</w:t>
      </w:r>
      <w:bookmarkEnd w:id="33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520"/>
        <w:gridCol w:w="5400"/>
      </w:tblGrid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Gesichert werden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Datenbanken (MariaDB), gespeicherte E-Mails und Anhänge, Suchindex</w:t>
            </w:r>
            <w:r>
              <w:rPr>
                <w:lang w:val="de-DE"/>
              </w:rPr>
              <w:t xml:space="preserve"> </w:t>
            </w:r>
            <w:sdt>
              <w:sdtPr>
                <w:id w:val="107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[oder Neuaufbau mit reindex]</w:t>
                </w:r>
              </w:sdtContent>
            </w:sdt>
            <w:r>
              <w:rPr>
                <w:lang w:val="de-DE"/>
              </w:rPr>
              <w:t xml:space="preserve">, Konfiguration (</w:t>
            </w:r>
            <w:r>
              <w:rPr>
                <w:rStyle w:val="VerbatimChar"/>
                <w:lang w:val="de-DE"/>
              </w:rPr>
              <w:t xml:space="preserve">.env</w:t>
            </w:r>
            <w:r>
              <w:rPr>
                <w:lang w:val="de-DE"/>
              </w:rPr>
              <w:t xml:space="preserve">,</w:t>
            </w:r>
            <w:r>
              <w:rPr>
                <w:lang w:val="de-DE"/>
              </w:rPr>
              <w:t xml:space="preserve"> </w:t>
            </w:r>
            <w:r>
              <w:rPr>
                <w:rStyle w:val="VerbatimChar"/>
                <w:lang w:val="de-DE"/>
              </w:rPr>
              <w:t xml:space="preserve">/etc/piler</w:t>
            </w:r>
            <w:r>
              <w:rPr>
                <w:lang w:val="de-DE"/>
              </w:rPr>
              <w:t xml:space="preserve">), Schlüssel</w:t>
            </w:r>
            <w:r>
              <w:rPr>
                <w:lang w:val="de-DE"/>
              </w:rPr>
              <w:t xml:space="preserve"> </w:t>
            </w:r>
            <w:r>
              <w:rPr>
                <w:rStyle w:val="VerbatimChar"/>
                <w:lang w:val="de-DE"/>
              </w:rPr>
              <w:t xml:space="preserve">piler.key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Verfahren</w:t>
            </w:r>
          </w:p>
        </w:tc>
        <w:tc>
          <w:tcPr/>
          <w:p>
            <w:pPr>
              <w:pStyle w:val="Compact"/>
            </w:pPr>
            <w:sdt>
              <w:sdtPr>
                <w:id w:val="107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[Programm, z. B. piler-backup-complete.sh / Snapshots /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Häufigkeit</w:t>
            </w:r>
          </w:p>
        </w:tc>
        <w:tc>
          <w:tcPr/>
          <w:p>
            <w:pPr>
              <w:pStyle w:val="Compact"/>
            </w:pPr>
            <w:sdt>
              <w:sdtPr>
                <w:id w:val="108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[täglich um 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Speicherort</w:t>
            </w:r>
          </w:p>
        </w:tc>
        <w:tc>
          <w:tcPr/>
          <w:p>
            <w:pPr>
              <w:pStyle w:val="Compact"/>
            </w:pPr>
            <w:sdt>
              <w:sdtPr>
                <w:id w:val="108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[zweiter Standort / Cloud-Speicher, getrennt vom Archiv]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Aufbewahrung der Sicherungen</w:t>
            </w:r>
          </w:p>
        </w:tc>
        <w:tc>
          <w:tcPr/>
          <w:p>
            <w:pPr>
              <w:pStyle w:val="Compact"/>
            </w:pPr>
            <w:sdt>
              <w:sdtPr>
                <w:id w:val="108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[z. B. 30 tägliche, 12 monatliche]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Wiederherstellungstest</w:t>
            </w:r>
          </w:p>
        </w:tc>
        <w:tc>
          <w:tcPr/>
          <w:p>
            <w:pPr>
              <w:pStyle w:val="Compact"/>
            </w:pPr>
            <w:sdt>
              <w:sdtPr>
                <w:id w:val="108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[halbjährlich, Protokoll in …]</w:t>
                </w:r>
              </w:sdtContent>
            </w:sdt>
          </w:p>
        </w:tc>
      </w:tr>
    </w:tbl>
    <w:p>
      <w:pPr>
        <w:pStyle w:val="FirstParagraph"/>
      </w:pPr>
      <w:r>
        <w:rPr>
          <w:i/>
          <w:iCs/>
          <w:lang w:val="de-DE"/>
        </w:rPr>
        <w:t xml:space="preserve">Die Beschreibung der Datensicherung ist Teil der Verfahrensdokumentation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(Rz. 106).</w:t>
      </w:r>
    </w:p>
    <w:p>
      <w:pPr>
        <w:pStyle w:val="Heading2"/>
      </w:pPr>
      <w:bookmarkStart w:id="34" w:name="_schlüsselverwaltung"/>
      <w:r>
        <w:rPr>
          <w:lang w:val="de-DE"/>
        </w:rPr>
        <w:t xml:space="preserve">4.2 Schlüsselverwaltung</w:t>
      </w:r>
      <w:bookmarkEnd w:id="34"/>
    </w:p>
    <w:p>
      <w:pPr>
        <w:pStyle w:val="FirstParagraph"/>
      </w:pPr>
      <w:r>
        <w:rPr>
          <w:lang w:val="de-DE"/>
        </w:rPr>
        <w:t xml:space="preserve">Der Schlüssel</w:t>
      </w:r>
      <w:r>
        <w:rPr>
          <w:lang w:val="de-DE"/>
        </w:rPr>
        <w:t xml:space="preserve"> </w:t>
      </w:r>
      <w:r>
        <w:rPr>
          <w:rStyle w:val="VerbatimChar"/>
          <w:lang w:val="de-DE"/>
        </w:rPr>
        <w:t xml:space="preserve">piler.key</w:t>
      </w:r>
      <w:r>
        <w:rPr>
          <w:lang w:val="de-DE"/>
        </w:rPr>
        <w:t xml:space="preserve"> </w:t>
      </w:r>
      <w:r>
        <w:rPr>
          <w:lang w:val="de-DE"/>
        </w:rPr>
        <w:t xml:space="preserve">wird</w:t>
      </w:r>
      <w:r>
        <w:rPr>
          <w:lang w:val="de-DE"/>
        </w:rPr>
        <w:t xml:space="preserve"> </w:t>
      </w:r>
      <w:sdt>
        <w:sdtPr>
          <w:id w:val="1084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[im Passwort-Tresor …, ausgedruckt im Safe …]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aufbewahrt, getrennt von den Datensicherungen, für die gesamte</w:t>
      </w:r>
      <w:r>
        <w:rPr>
          <w:lang w:val="de-DE"/>
        </w:rPr>
        <w:t xml:space="preserve"> </w:t>
      </w:r>
      <w:r>
        <w:rPr>
          <w:lang w:val="de-DE"/>
        </w:rPr>
        <w:t xml:space="preserve">Aufbewahrungsfrist der archivierten E-Mails. Zugriff haben</w:t>
      </w:r>
      <w:r>
        <w:rPr>
          <w:lang w:val="de-DE"/>
        </w:rPr>
        <w:t xml:space="preserve"> </w:t>
      </w:r>
      <w:sdt>
        <w:sdtPr>
          <w:id w:val="1085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[Name(n)]</w:t>
          </w:r>
        </w:sdtContent>
      </w:sdt>
      <w:r>
        <w:rPr>
          <w:lang w:val="de-DE"/>
        </w:rPr>
        <w:t xml:space="preserve">.</w:t>
      </w:r>
    </w:p>
    <w:p>
      <w:pPr>
        <w:pStyle w:val="Heading2"/>
      </w:pPr>
      <w:bookmarkStart w:id="35" w:name="_updates"/>
      <w:r>
        <w:rPr>
          <w:lang w:val="de-DE"/>
        </w:rPr>
        <w:t xml:space="preserve">4.3 Updates</w:t>
      </w:r>
      <w:bookmarkEnd w:id="35"/>
    </w:p>
    <w:p>
      <w:pPr>
        <w:pStyle w:val="FirstParagraph"/>
      </w:pPr>
      <w:r>
        <w:rPr>
          <w:lang w:val="de-DE"/>
        </w:rPr>
        <w:t xml:space="preserve">Updates von Piler werden</w:t>
      </w:r>
      <w:r>
        <w:rPr>
          <w:lang w:val="de-DE"/>
        </w:rPr>
        <w:t xml:space="preserve"> </w:t>
      </w:r>
      <w:sdt>
        <w:sdtPr>
          <w:id w:val="1086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[von …]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nach den Upgrade-Hinweisen der</w:t>
      </w:r>
      <w:r>
        <w:rPr>
          <w:lang w:val="de-DE"/>
        </w:rPr>
        <w:t xml:space="preserve"> </w:t>
      </w:r>
      <w:r>
        <w:rPr>
          <w:lang w:val="de-DE"/>
        </w:rPr>
        <w:t xml:space="preserve">Dokumentation eingespielt,</w:t>
      </w:r>
      <w:r>
        <w:rPr>
          <w:lang w:val="de-DE"/>
        </w:rPr>
        <w:t xml:space="preserve"> </w:t>
      </w:r>
      <w:sdt>
        <w:sdtPr>
          <w:id w:val="1087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[innerhalb von … nach der Veröffentlichung; Sicherheitsupdates innerhalb von …]</w:t>
          </w:r>
        </w:sdtContent>
      </w:sdt>
      <w:r>
        <w:rPr>
          <w:lang w:val="de-DE"/>
        </w:rPr>
        <w:t xml:space="preserve">. Jedes Update wird in der</w:t>
      </w:r>
      <w:r>
        <w:rPr>
          <w:lang w:val="de-DE"/>
        </w:rPr>
        <w:t xml:space="preserve"> </w:t>
      </w:r>
      <w:r>
        <w:rPr>
          <w:lang w:val="de-DE"/>
        </w:rPr>
        <w:t xml:space="preserve">Änderungshistorie mit Datum und Version festgehalten.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14"/>
        <w:gridCol w:w="1914"/>
        <w:gridCol w:w="2001"/>
        <w:gridCol w:w="2088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Datum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Version vorher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Version nachher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Durchgeführt von</w:t>
            </w:r>
          </w:p>
        </w:tc>
      </w:tr>
      <w:tr>
        <w:tc>
          <w:tcPr/>
          <w:p>
            <w:pPr>
              <w:pStyle w:val="Compact"/>
            </w:pPr>
            <w:sdt>
              <w:sdtPr>
                <w:id w:val="108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[TT.MM.JJJJ]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8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[2.2.4]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9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[2.2.5]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9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</w:tr>
    </w:tbl>
    <w:p>
      <w:pPr>
        <w:pStyle w:val="Heading2"/>
      </w:pPr>
      <w:bookmarkStart w:id="36" w:name="_ae3c7c4aec2a4f25f9a3305cbb749833b8eb64e"/>
      <w:r>
        <w:rPr>
          <w:lang w:val="de-DE"/>
        </w:rPr>
        <w:t xml:space="preserve">4.4 Überwachung und Störungen</w:t>
      </w:r>
      <w:bookmarkEnd w:id="36"/>
    </w:p>
    <w:p>
      <w:pPr>
        <w:pStyle w:val="FirstParagraph"/>
      </w:pPr>
      <w:sdt>
        <w:sdtPr>
          <w:id w:val="1092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[Die Verfügbarkeit des Archivs und der Eingang der E-Mails werden mit [Prometheus / …] überwacht (Endpunkt /metrics); Alarme gehen an ….]</w:t>
          </w:r>
        </w:sdtContent>
      </w:sdt>
    </w:p>
    <w:p>
      <w:pPr>
        <w:pStyle w:val="BodyText"/>
      </w:pPr>
      <w:r>
        <w:rPr>
          <w:lang w:val="de-DE"/>
        </w:rPr>
        <w:t xml:space="preserve">Bei einer Störung der Archivierung (z. B. der Mailserver kann das Archiv</w:t>
      </w:r>
      <w:r>
        <w:rPr>
          <w:lang w:val="de-DE"/>
        </w:rPr>
        <w:t xml:space="preserve"> </w:t>
      </w:r>
      <w:r>
        <w:rPr>
          <w:lang w:val="de-DE"/>
        </w:rPr>
        <w:t xml:space="preserve">nicht erreichen)</w:t>
      </w:r>
      <w:r>
        <w:rPr>
          <w:lang w:val="de-DE"/>
        </w:rPr>
        <w:t xml:space="preserve"> </w:t>
      </w:r>
      <w:sdt>
        <w:sdtPr>
          <w:id w:val="1093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[stellt der Mailserver die Journalkopien zurück und liefert sie nach / …]</w:t>
          </w:r>
        </w:sdtContent>
      </w:sdt>
      <w:r>
        <w:rPr>
          <w:lang w:val="de-DE"/>
        </w:rPr>
        <w:t xml:space="preserve">. Störungen und ihre Behebung werden in</w:t>
      </w:r>
      <w:r>
        <w:rPr>
          <w:lang w:val="de-DE"/>
        </w:rPr>
        <w:t xml:space="preserve"> </w:t>
      </w:r>
      <w:sdt>
        <w:sdtPr>
          <w:id w:val="1094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[Ticket- system / Störungsprotokoll]</w:t>
          </w:r>
        </w:sdtContent>
      </w:sdt>
      <w:r>
        <w:rPr>
          <w:lang w:val="de-DE"/>
        </w:rPr>
        <w:t xml:space="preserve"> </w:t>
      </w:r>
      <w:r>
        <w:rPr>
          <w:lang w:val="de-DE"/>
        </w:rPr>
        <w:t xml:space="preserve">dokumentiert, mit einer Prüfung, ob E-Mails</w:t>
      </w:r>
      <w:r>
        <w:rPr>
          <w:lang w:val="de-DE"/>
        </w:rPr>
        <w:t xml:space="preserve"> </w:t>
      </w:r>
      <w:r>
        <w:rPr>
          <w:lang w:val="de-DE"/>
        </w:rPr>
        <w:t xml:space="preserve">fehlen.</w:t>
      </w:r>
    </w:p>
    <w:p>
      <w:pPr>
        <w:pStyle w:val="Heading2"/>
      </w:pPr>
      <w:bookmarkStart w:id="37" w:name="_150a25ea86f0bd04fd2bee8e8e187c7fe200a7f"/>
      <w:r>
        <w:rPr>
          <w:lang w:val="de-DE"/>
        </w:rPr>
        <w:t xml:space="preserve">4.5 Zugriff auf die Server</w:t>
      </w:r>
      <w:bookmarkEnd w:id="37"/>
    </w:p>
    <w:p>
      <w:pPr>
        <w:pStyle w:val="FirstParagraph"/>
      </w:pPr>
      <w:sdt>
        <w:sdtPr>
          <w:id w:val="1095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[Wer hat administrativen Zugriff auf Server, Datenbank und Speicher, wie wird er vergeben und protokolliert?]</w:t>
          </w:r>
        </w:sdtContent>
      </w:sdt>
    </w:p>
    <w:p>
      <w:pPr>
        <w:pStyle w:val="Heading1"/>
      </w:pPr>
      <w:bookmarkStart w:id="38" w:name="_92874a4dd4fe9ad97411d11246afd2f610d33e9"/>
      <w:r>
        <w:rPr>
          <w:lang w:val="de-DE"/>
        </w:rPr>
        <w:t xml:space="preserve">5. Internes Kontrollsystem</w:t>
      </w:r>
      <w:bookmarkEnd w:id="38"/>
    </w:p>
    <w:p>
      <w:pPr>
        <w:pStyle w:val="FirstParagraph"/>
      </w:pPr>
      <w:r>
        <w:rPr>
          <w:i/>
          <w:iCs/>
          <w:lang w:val="de-DE"/>
        </w:rPr>
        <w:t xml:space="preserve">Die Beschreibung des internen Kontrollsystems ist Teil der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Verfahrensdokumentation (Rz. 100 bis 102).</w:t>
      </w:r>
    </w:p>
    <w:p>
      <w:pPr>
        <w:pStyle w:val="Heading2"/>
      </w:pPr>
      <w:bookmarkStart w:id="39" w:name="_berechtigungen"/>
      <w:r>
        <w:rPr>
          <w:lang w:val="de-DE"/>
        </w:rPr>
        <w:t xml:space="preserve">5.1 Berechtigungen</w:t>
      </w:r>
      <w:bookmarkEnd w:id="39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00"/>
        <w:gridCol w:w="1716"/>
        <w:gridCol w:w="1452"/>
        <w:gridCol w:w="1452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Kontrolle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Häufigkeit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Verantwortlich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Nachweis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Prüfung der Auditor-, Datenschutzbeauftragten- und Administratorkonten</w:t>
            </w:r>
          </w:p>
        </w:tc>
        <w:tc>
          <w:tcPr/>
          <w:p>
            <w:pPr>
              <w:pStyle w:val="Compact"/>
            </w:pPr>
            <w:sdt>
              <w:sdtPr>
                <w:id w:val="109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[halbjährlich]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9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09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[Protokoll]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Deaktivierung der Konten ausgeschiedener Mitarbeiter</w:t>
            </w:r>
          </w:p>
        </w:tc>
        <w:tc>
          <w:tcPr/>
          <w:p>
            <w:pPr>
              <w:pStyle w:val="Compact"/>
            </w:pPr>
            <w:sdt>
              <w:sdtPr>
                <w:id w:val="109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[beim Austritt]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Heading2"/>
      </w:pPr>
      <w:bookmarkStart w:id="40" w:name="_vollständigkeit"/>
      <w:r>
        <w:rPr>
          <w:lang w:val="de-DE"/>
        </w:rPr>
        <w:t xml:space="preserve">5.2 Vollständigkeit</w:t>
      </w:r>
      <w:bookmarkEnd w:id="40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1"/>
        <w:gridCol w:w="2137"/>
        <w:gridCol w:w="1382"/>
        <w:gridCol w:w="1068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Kontrolle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Häufigkeit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Verantwortlich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Nachweis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Stichprobe: eine aktuelle ein- und ausgehende E-Mail ist im Archiv auffindbar</w:t>
            </w:r>
          </w:p>
        </w:tc>
        <w:tc>
          <w:tcPr/>
          <w:p>
            <w:pPr>
              <w:pStyle w:val="Compact"/>
            </w:pPr>
            <w:sdt>
              <w:sdtPr>
                <w:id w:val="110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[monatlich]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Die Journalregel des Mailservers ist aktiv und unverändert</w:t>
            </w:r>
          </w:p>
        </w:tc>
        <w:tc>
          <w:tcPr/>
          <w:p>
            <w:pPr>
              <w:pStyle w:val="Compact"/>
            </w:pPr>
            <w:sdt>
              <w:sdtPr>
                <w:id w:val="110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[monatlich]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Keine E-Mails im Fehlerverzeichnis des Archivs</w:t>
            </w:r>
          </w:p>
        </w:tc>
        <w:tc>
          <w:tcPr/>
          <w:p>
            <w:pPr>
              <w:pStyle w:val="Compact"/>
            </w:pPr>
            <w:sdt>
              <w:sdtPr>
                <w:id w:val="110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[laufend über die Überwachung]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0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Heading2"/>
      </w:pPr>
      <w:bookmarkStart w:id="41" w:name="_de30c62fadc855e50a1f0d5f675504c0230ccf1"/>
      <w:r>
        <w:rPr>
          <w:lang w:val="de-DE"/>
        </w:rPr>
        <w:t xml:space="preserve">5.3 Protokollierung und Löschungen</w:t>
      </w:r>
      <w:bookmarkEnd w:id="41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90"/>
        <w:gridCol w:w="1489"/>
        <w:gridCol w:w="1489"/>
        <w:gridCol w:w="115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Kontrolle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Häufigkeit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Verantwortlich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Nachweis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Durchsicht des Audit-Logs: Zugriffe von Auditoren, Exporte, Änderungen der Einstellungen</w:t>
            </w:r>
          </w:p>
        </w:tc>
        <w:tc>
          <w:tcPr/>
          <w:p>
            <w:pPr>
              <w:pStyle w:val="Compact"/>
            </w:pPr>
            <w:sdt>
              <w:sdtPr>
                <w:id w:val="111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[monatlich]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Durchsicht der Löschanträge und Freigaben (falls das Löschen aktiviert ist)</w:t>
            </w:r>
          </w:p>
        </w:tc>
        <w:tc>
          <w:tcPr/>
          <w:p>
            <w:pPr>
              <w:pStyle w:val="Compact"/>
            </w:pPr>
            <w:sdt>
              <w:sdtPr>
                <w:id w:val="111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[monatlich]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Heading2"/>
      </w:pPr>
      <w:bookmarkStart w:id="42" w:name="_c94fe2d2840fa9280e54a2a3e9fa24e2e46b968"/>
      <w:r>
        <w:rPr>
          <w:lang w:val="de-DE"/>
        </w:rPr>
        <w:t xml:space="preserve">5.4 Datensicherung</w:t>
      </w:r>
      <w:bookmarkEnd w:id="42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72"/>
        <w:gridCol w:w="2059"/>
        <w:gridCol w:w="1742"/>
        <w:gridCol w:w="134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Kontrolle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Häufigkeit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Verantwortlich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Nachweis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Erfolg der Datensicherung</w:t>
            </w:r>
          </w:p>
        </w:tc>
        <w:tc>
          <w:tcPr/>
          <w:p>
            <w:pPr>
              <w:pStyle w:val="Compact"/>
            </w:pPr>
            <w:sdt>
              <w:sdtPr>
                <w:id w:val="111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[täglich]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1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Wiederherstellungstest</w:t>
            </w:r>
          </w:p>
        </w:tc>
        <w:tc>
          <w:tcPr/>
          <w:p>
            <w:pPr>
              <w:pStyle w:val="Compact"/>
            </w:pPr>
            <w:sdt>
              <w:sdtPr>
                <w:id w:val="112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[halbjährlich]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2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[Name]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2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Heading1"/>
      </w:pPr>
      <w:bookmarkStart w:id="43" w:name="_75834c246ab9d14b6c3c156dc47443dc30c8604"/>
      <w:r>
        <w:rPr>
          <w:lang w:val="de-DE"/>
        </w:rPr>
        <w:t xml:space="preserve">Anhang A: Einstellungen</w:t>
      </w:r>
      <w:bookmarkEnd w:id="43"/>
    </w:p>
    <w:p>
      <w:pPr>
        <w:pStyle w:val="FirstParagraph"/>
      </w:pPr>
      <w:r>
        <w:rPr>
          <w:i/>
          <w:iCs/>
          <w:lang w:val="de-DE"/>
        </w:rPr>
        <w:t xml:space="preserve">Eine Übersicht der für die GoBD relevanten Einstellungen zum Zeitpunkt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dieser Version der Dokumentation. Der Konfigurationsbericht in der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Administration (Compliance &gt; Configuration report) erstellt die Anhänge A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und B und die Rollen aus Abschnitt 2.1 aus der aktuellen Konfiguration; was</w:t>
      </w:r>
      <w:r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 xml:space="preserve">Piler nicht auslesen kann, bleibt als Platzhalter stehen.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109"/>
        <w:gridCol w:w="281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Einstellung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lang w:val="de-DE"/>
              </w:rPr>
              <w:t xml:space="preserve">ENABLE_DELETE</w:t>
            </w:r>
          </w:p>
        </w:tc>
        <w:tc>
          <w:tcPr/>
          <w:p>
            <w:pPr>
              <w:pStyle w:val="Compact"/>
            </w:pPr>
            <w:sdt>
              <w:sdtPr>
                <w:id w:val="112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[false]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lang w:val="de-DE"/>
              </w:rPr>
              <w:t xml:space="preserve">NEED_TO_APPROVE_DELETE</w:t>
            </w:r>
          </w:p>
        </w:tc>
        <w:tc>
          <w:tcPr/>
          <w:p>
            <w:pPr>
              <w:pStyle w:val="Compact"/>
            </w:pPr>
            <w:sdt>
              <w:sdtPr>
                <w:id w:val="112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lang w:val="de-DE"/>
              </w:rPr>
              <w:t xml:space="preserve">ENABLE_DELETE_FOR_USERS</w:t>
            </w:r>
          </w:p>
        </w:tc>
        <w:tc>
          <w:tcPr/>
          <w:p>
            <w:pPr>
              <w:pStyle w:val="Compact"/>
            </w:pPr>
            <w:sdt>
              <w:sdtPr>
                <w:id w:val="1125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[false]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Aufbewahrungsfrist des Mandanten</w:t>
            </w:r>
          </w:p>
        </w:tc>
        <w:tc>
          <w:tcPr/>
          <w:p>
            <w:pPr>
              <w:pStyle w:val="Compact"/>
            </w:pPr>
            <w:sdt>
              <w:sdtPr>
                <w:id w:val="1126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[3650 Tage]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Bereinigung (purge)</w:t>
            </w:r>
          </w:p>
        </w:tc>
        <w:tc>
          <w:tcPr/>
          <w:p>
            <w:pPr>
              <w:pStyle w:val="Compact"/>
            </w:pPr>
            <w:sdt>
              <w:sdtPr>
                <w:id w:val="1127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[aktiviert]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Anmeldung (</w:t>
            </w:r>
            <w:r>
              <w:rPr>
                <w:rStyle w:val="VerbatimChar"/>
                <w:lang w:val="de-DE"/>
              </w:rPr>
              <w:t xml:space="preserve">AUTH_MODE</w:t>
            </w:r>
            <w:r>
              <w:rPr>
                <w:lang w:val="de-DE"/>
              </w:rPr>
              <w:t xml:space="preserve">)</w:t>
            </w:r>
          </w:p>
        </w:tc>
        <w:tc>
          <w:tcPr/>
          <w:p>
            <w:pPr>
              <w:pStyle w:val="Compact"/>
            </w:pPr>
            <w:sdt>
              <w:sdtPr>
                <w:id w:val="1128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Weiterleitung des Audit-Logs (SIEM)</w:t>
            </w:r>
          </w:p>
        </w:tc>
        <w:tc>
          <w:tcPr/>
          <w:p>
            <w:pPr>
              <w:pStyle w:val="Compact"/>
            </w:pPr>
            <w:sdt>
              <w:sdtPr>
                <w:id w:val="1129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  <w:t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Ablage (lokal / S3, Object Lock)</w:t>
            </w:r>
          </w:p>
        </w:tc>
        <w:tc>
          <w:tcPr/>
          <w:p>
            <w:pPr>
              <w:pStyle w:val="Compact"/>
            </w:pPr>
            <w:sdt>
              <w:sdtPr>
                <w:id w:val="1130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[…]</w:t>
                </w:r>
              </w:sdtContent>
            </w:sdt>
          </w:p>
        </w:tc>
      </w:tr>
    </w:tbl>
    <w:p>
      <w:pPr>
        <w:pStyle w:val="Heading1"/>
      </w:pPr>
      <w:bookmarkStart w:id="44" w:name="_694c8ec87b6828bac67e00b708d5a55ca5c4f5f"/>
      <w:r>
        <w:rPr>
          <w:lang w:val="de-DE"/>
        </w:rPr>
        <w:t xml:space="preserve">Anhang B: Aufbewahrungsregeln</w:t>
      </w:r>
      <w:bookmarkEnd w:id="44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59"/>
        <w:gridCol w:w="1810"/>
        <w:gridCol w:w="1584"/>
        <w:gridCol w:w="286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de-DE"/>
              </w:rPr>
              <w:t xml:space="preserve">Regel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Frist</w:t>
            </w:r>
          </w:p>
        </w:tc>
        <w:tc>
          <w:tcPr/>
          <w:p>
            <w:pPr>
              <w:pStyle w:val="Compact"/>
            </w:pPr>
            <w:r>
              <w:rPr>
                <w:lang w:val="de-DE"/>
              </w:rPr>
              <w:t xml:space="preserve">Begründung</w:t>
            </w:r>
          </w:p>
        </w:tc>
      </w:tr>
      <w:tr>
        <w:tc>
          <w:tcPr/>
          <w:p>
            <w:pPr>
              <w:pStyle w:val="Compact"/>
            </w:pPr>
            <w:sdt>
              <w:sdtPr>
                <w:id w:val="1131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[Newsletter]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32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[Absender …]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33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[365 Tage]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id w:val="1134"/>
                <w:temporary/>
                <w:showingPlcHdr/>
                <w:text w:multiLine="1"/>
              </w:sdtPr>
              <w:sdtContent>
                <w:r>
                  <w:rPr>
                    <w:rStyle w:val="Platzhalter"/>
                    <w:lang w:val="de-DE"/>
                  </w:rPr>
                  <w:t xml:space="preserve">[nicht aufbewahrungspflichtig]</w:t>
                </w:r>
              </w:sdtContent>
            </w:sdt>
          </w:p>
        </w:tc>
      </w:tr>
    </w:tbl>
    <w:p>
      <w:pPr>
        <w:pStyle w:val="Heading1"/>
      </w:pPr>
      <w:bookmarkStart w:id="45" w:name="_662d8d39ee9d8d37224aaaf8eeab70e6d025bd3"/>
      <w:r>
        <w:rPr>
          <w:lang w:val="de-DE"/>
        </w:rPr>
        <w:t xml:space="preserve">Anhang C: Mitgeltende Unterlagen</w:t>
      </w:r>
      <w:bookmarkEnd w:id="45"/>
    </w:p>
    <w:p>
      <w:pPr>
        <w:pStyle w:val="Compact"/>
        <w:numPr>
          <w:ilvl w:val="0"/>
          <w:numId w:val="1003"/>
        </w:numPr>
      </w:pPr>
      <w:r>
        <w:rPr>
          <w:lang w:val="de-DE"/>
        </w:rPr>
        <w:t xml:space="preserve">Dokumentation von Piler Enterprise in der jeweils eingesetzten Version:</w:t>
      </w:r>
      <w:r>
        <w:rPr>
          <w:lang w:val="de-DE"/>
        </w:rPr>
        <w:t xml:space="preserve"> </w:t>
      </w:r>
      <w:hyperlink r:id="rId46">
        <w:r>
          <w:rPr>
            <w:rStyle w:val="Hyperlink"/>
            <w:lang w:val="de-DE"/>
          </w:rPr>
          <w:t xml:space="preserve">https://docs.mailpiler.com/piler-ee-fiber/</w:t>
        </w:r>
      </w:hyperlink>
    </w:p>
    <w:p>
      <w:pPr>
        <w:pStyle w:val="Compact"/>
        <w:numPr>
          <w:ilvl w:val="0"/>
          <w:numId w:val="1003"/>
        </w:numPr>
      </w:pPr>
      <w:hyperlink r:id="rId9">
        <w:r>
          <w:rPr>
            <w:rStyle w:val="Hyperlink"/>
            <w:lang w:val="de-DE"/>
          </w:rPr>
          <w:t xml:space="preserve">GoBD-konforme E-Mail-Archivierung</w:t>
        </w:r>
      </w:hyperlink>
    </w:p>
    <w:p>
      <w:pPr>
        <w:pStyle w:val="Compact"/>
        <w:numPr>
          <w:ilvl w:val="0"/>
          <w:numId w:val="1003"/>
        </w:numPr>
      </w:pPr>
      <w:sdt>
        <w:sdtPr>
          <w:id w:val="1135"/>
          <w:temporary/>
          <w:showingPlcHdr/>
          <w:text w:multiLine="1"/>
        </w:sdtPr>
        <w:sdtContent>
          <w:r>
            <w:rPr>
              <w:rStyle w:val="Platzhalter"/>
              <w:lang w:val="de-DE"/>
            </w:rPr>
            <w:t xml:space="preserve">[Berechtigungskonzept, Datensicherungskonzept, Vertrag mit dem Dienstleister, …]</w:t>
          </w:r>
        </w:sdtContent>
      </w:sdt>
    </w:p>
    <w:sectPr>
      <w:footerReference w:type="default" r:id="rIdFooter1"/>
      <w:pgSz w:w="11906" w:h="16838"/>
      <w:pgMar w:top="1304" w:right="1134" w:bottom="1304" w:left="1134" w:header="567" w:footer="567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tabs>
        <w:tab w:val="clear" w:pos="4680"/>
        <w:tab w:val="clear" w:pos="9360"/>
        <w:tab w:val="right" w:pos="9638"/>
      </w:tabs>
    </w:pPr>
    <w:r>
      <w:rPr>
        <w:sz w:val="18"/>
      </w:rPr>
      <w:t>Verfahrensdokumentation E-Mail-Archivierung</w:t>
    </w:r>
    <w:r>
      <w:rPr>
        <w:sz w:val="18"/>
      </w:rPr>
      <w:tab/>
      <w:t xml:space="preserve">Seite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cs="Calibri" w:eastAsia="Calibri"/>
        <w:sz w:val="24"/>
        <w:szCs w:val="24"/>
        <w:lang w:val="de-DE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hAnsi="Calibri" w:cs="Calibri" w:eastAsia="Calibr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="Calibri" w:hAnsi="Calibri" w:cs="Calibri" w:eastAsia="Calibr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pageBreakBefore/>
      <w:spacing w:before="360" w:after="80"/>
      <w:outlineLvl w:val="0"/>
    </w:pPr>
    <w:rPr>
      <w:rFonts w:ascii="Calibri" w:hAnsi="Calibri" w:cs="Calibri" w:eastAsia="Calibr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="Calibri" w:hAnsi="Calibri" w:cs="Calibri" w:eastAsia="Calibr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="Calibri" w:hAnsi="Calibri" w:cs="Calibri" w:eastAsia="Calibr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="Calibri" w:hAnsi="Calibri" w:cs="Calibri" w:eastAsia="Calibr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85" w:type="dxa"/>
        <w:bottom w:w="40" w:type="dxa"/>
        <w:right w:w="85" w:type="dxa"/>
      </w:tblCellMar>
    </w:tblPr>
    <w:tblStylePr w:type="firstRow">
      <w:rPr>
        <w:b/>
      </w:rPr>
      <w:tcPr>
        <w:shd w:val="clear" w:color="auto" w:fill="F2F2F2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1F2937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hAnsi="Calibri" w:cs="Calibri" w:eastAsia="Calibr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1F2937"/>
    </w:rPr>
  </w:style>
  <w:style w:type="character" w:customStyle="1" w:styleId="DataTypeTok">
    <w:name w:val="DataTypeTok"/>
    <w:basedOn w:val="VerbatimChar"/>
    <w:rPr>
      <w:color w:val="1F2937"/>
    </w:rPr>
  </w:style>
  <w:style w:type="character" w:customStyle="1" w:styleId="DecValTok">
    <w:name w:val="DecValTok"/>
    <w:basedOn w:val="VerbatimChar"/>
    <w:rPr>
      <w:color w:val="1F2937"/>
    </w:rPr>
  </w:style>
  <w:style w:type="character" w:customStyle="1" w:styleId="BaseNTok">
    <w:name w:val="BaseNTok"/>
    <w:basedOn w:val="VerbatimChar"/>
    <w:rPr>
      <w:color w:val="1F2937"/>
    </w:rPr>
  </w:style>
  <w:style w:type="character" w:customStyle="1" w:styleId="FloatTok">
    <w:name w:val="FloatTok"/>
    <w:basedOn w:val="VerbatimChar"/>
    <w:rPr>
      <w:color w:val="1F2937"/>
    </w:rPr>
  </w:style>
  <w:style w:type="character" w:customStyle="1" w:styleId="ConstantTok">
    <w:name w:val="ConstantTok"/>
    <w:basedOn w:val="VerbatimChar"/>
    <w:rPr>
      <w:color w:val="1F2937"/>
    </w:rPr>
  </w:style>
  <w:style w:type="character" w:customStyle="1" w:styleId="CharTok">
    <w:name w:val="CharTok"/>
    <w:basedOn w:val="VerbatimChar"/>
    <w:rPr>
      <w:color w:val="1F2937"/>
    </w:rPr>
  </w:style>
  <w:style w:type="character" w:customStyle="1" w:styleId="SpecialCharTok">
    <w:name w:val="SpecialCharTok"/>
    <w:basedOn w:val="VerbatimChar"/>
    <w:rPr>
      <w:color w:val="1F2937"/>
    </w:rPr>
  </w:style>
  <w:style w:type="character" w:customStyle="1" w:styleId="StringTok">
    <w:name w:val="StringTok"/>
    <w:basedOn w:val="VerbatimChar"/>
    <w:rPr>
      <w:color w:val="1F2937"/>
    </w:rPr>
  </w:style>
  <w:style w:type="character" w:customStyle="1" w:styleId="VerbatimStringTok">
    <w:name w:val="VerbatimStringTok"/>
    <w:basedOn w:val="VerbatimChar"/>
    <w:rPr>
      <w:color w:val="1F2937"/>
    </w:rPr>
  </w:style>
  <w:style w:type="character" w:customStyle="1" w:styleId="SpecialStringTok">
    <w:name w:val="SpecialStringTok"/>
    <w:basedOn w:val="VerbatimChar"/>
    <w:rPr>
      <w:color w:val="1F2937"/>
    </w:rPr>
  </w:style>
  <w:style w:type="character" w:customStyle="1" w:styleId="ImportTok">
    <w:name w:val="ImportTok"/>
    <w:basedOn w:val="VerbatimChar"/>
    <w:rPr>
      <w:b/>
      <w:color w:val="1F2937"/>
    </w:rPr>
  </w:style>
  <w:style w:type="character" w:customStyle="1" w:styleId="CommentTok">
    <w:name w:val="CommentTok"/>
    <w:basedOn w:val="VerbatimChar"/>
    <w:rPr>
      <w:i/>
      <w:color w:val="1F2937"/>
    </w:rPr>
  </w:style>
  <w:style w:type="character" w:customStyle="1" w:styleId="DocumentationTok">
    <w:name w:val="DocumentationTok"/>
    <w:basedOn w:val="VerbatimChar"/>
    <w:rPr>
      <w:i/>
      <w:color w:val="1F2937"/>
    </w:rPr>
  </w:style>
  <w:style w:type="character" w:customStyle="1" w:styleId="AnnotationTok">
    <w:name w:val="AnnotationTok"/>
    <w:basedOn w:val="VerbatimChar"/>
    <w:rPr>
      <w:b/>
      <w:i/>
      <w:color w:val="1F2937"/>
    </w:rPr>
  </w:style>
  <w:style w:type="character" w:customStyle="1" w:styleId="CommentVarTok">
    <w:name w:val="CommentVarTok"/>
    <w:basedOn w:val="VerbatimChar"/>
    <w:rPr>
      <w:b/>
      <w:i/>
      <w:color w:val="1F2937"/>
    </w:rPr>
  </w:style>
  <w:style w:type="character" w:customStyle="1" w:styleId="OtherTok">
    <w:name w:val="OtherTok"/>
    <w:basedOn w:val="VerbatimChar"/>
    <w:rPr>
      <w:color w:val="1F2937"/>
    </w:rPr>
  </w:style>
  <w:style w:type="character" w:customStyle="1" w:styleId="FunctionTok">
    <w:name w:val="FunctionTok"/>
    <w:basedOn w:val="VerbatimChar"/>
    <w:rPr>
      <w:color w:val="1F2937"/>
    </w:rPr>
  </w:style>
  <w:style w:type="character" w:customStyle="1" w:styleId="VariableTok">
    <w:name w:val="VariableTok"/>
    <w:basedOn w:val="VerbatimChar"/>
    <w:rPr>
      <w:color w:val="1F2937"/>
    </w:rPr>
  </w:style>
  <w:style w:type="character" w:customStyle="1" w:styleId="ControlFlowTok">
    <w:name w:val="ControlFlowTok"/>
    <w:basedOn w:val="VerbatimChar"/>
    <w:rPr>
      <w:b/>
      <w:color w:val="1F2937"/>
    </w:rPr>
  </w:style>
  <w:style w:type="character" w:customStyle="1" w:styleId="OperatorTok">
    <w:name w:val="OperatorTok"/>
    <w:basedOn w:val="VerbatimChar"/>
    <w:rPr>
      <w:color w:val="1F2937"/>
    </w:rPr>
  </w:style>
  <w:style w:type="character" w:customStyle="1" w:styleId="BuiltInTok">
    <w:name w:val="BuiltInTok"/>
    <w:basedOn w:val="VerbatimChar"/>
    <w:rPr>
      <w:color w:val="1F2937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1F2937"/>
    </w:rPr>
  </w:style>
  <w:style w:type="character" w:customStyle="1" w:styleId="AttributeTok">
    <w:name w:val="AttributeTok"/>
    <w:basedOn w:val="VerbatimChar"/>
    <w:rPr>
      <w:color w:val="1F2937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1F2937"/>
    </w:rPr>
  </w:style>
  <w:style w:type="character" w:customStyle="1" w:styleId="WarningTok">
    <w:name w:val="WarningTok"/>
    <w:basedOn w:val="VerbatimChar"/>
    <w:rPr>
      <w:b/>
      <w:i/>
      <w:color w:val="1F2937"/>
    </w:rPr>
  </w:style>
  <w:style w:type="character" w:customStyle="1" w:styleId="AlertTok">
    <w:name w:val="AlertTok"/>
    <w:basedOn w:val="VerbatimChar"/>
    <w:rPr>
      <w:b/>
      <w:color w:val="1F2937"/>
    </w:rPr>
  </w:style>
  <w:style w:type="character" w:customStyle="1" w:styleId="ErrorTok">
    <w:name w:val="ErrorTok"/>
    <w:basedOn w:val="VerbatimChar"/>
    <w:rPr>
      <w:b/>
      <w:color w:val="1F2937"/>
    </w:rPr>
  </w:style>
  <w:style w:type="character" w:customStyle="1" w:styleId="NormalTok">
    <w:name w:val="NormalTok"/>
    <w:basedOn w:val="VerbatimChar"/>
    <w:rPr/>
  </w:style>
  <w:style w:type="character" w:customStyle="1" w:styleId="Platzhalter">
    <w:name w:val="Platzhalter"/>
    <w:rPr>
      <w:shd w:val="clear" w:color="auto" w:fill="FFF2CC"/>
    </w:rPr>
  </w:style>
  <w:style w:type="paragraph" w:styleId="TOC1">
    <w:name w:val="toc 1"/>
    <w:basedOn w:val="Normal"/>
    <w:next w:val="Normal"/>
    <w:uiPriority w:val="39"/>
    <w:pPr>
      <w:spacing w:before="60" w:after="40"/>
    </w:pPr>
  </w:style>
  <w:style w:type="paragraph" w:styleId="TOC2">
    <w:name w:val="toc 2"/>
    <w:basedOn w:val="Normal"/>
    <w:next w:val="Normal"/>
    <w:uiPriority w:val="39"/>
    <w:pPr>
      <w:spacing w:before="0" w:after="20"/>
      <w:ind w:left="240"/>
    </w:p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6" Target="https://docs.mailpiler.com/piler-ee-fiber/" TargetMode="External" /><Relationship Type="http://schemas.openxmlformats.org/officeDocument/2006/relationships/hyperlink" Id="rId9" Target="https://docs.mailpiler.com/piler-ee-fiber/gobd-de/" TargetMode="External" /><Relationship Id="rIdFooter1" Type="http://schemas.openxmlformats.org/officeDocument/2006/relationships/footer" Target="footer1.xm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docs.mailpiler.com/piler-ee-fiber/" TargetMode="External" /><Relationship Type="http://schemas.openxmlformats.org/officeDocument/2006/relationships/hyperlink" Id="rId9" Target="https://docs.mailpiler.com/piler-ee-fiber/gobd-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Verfahrensdokumentation E-Mail-Archivierung</dc:title>
  <dc:creator/>
  <dc:language>de-DE</dc:language>
  <cp:keywords/>
  <dcterms:created xsi:type="dcterms:W3CDTF">2026-10-31T16:41:57Z</dcterms:created>
  <dcterms:modified xsi:type="dcterms:W3CDTF">2026-10-31T16:41:57Z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Vorlage für Piler Enterprise Edition 2.2.5+</vt:lpwstr>
  </property>
  <property fmtid="{D5CDD505-2E9C-101B-9397-08002B2CF9AE}" pid="3" name="toc-title">
    <vt:lpwstr>Inhalt</vt:lpwstr>
  </property>
</Properties>
</file>